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Verdana" w:hAnsi="Verdana"/>
          <w:b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jc w:val="both"/>
        <w:rPr>
          <w:rFonts w:hint="default" w:ascii="Verdana" w:hAnsi="Verdan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Verdana" w:hAnsi="Verdana"/>
          <w:b w:val="0"/>
          <w:bCs w:val="0"/>
          <w:sz w:val="28"/>
          <w:szCs w:val="28"/>
          <w:lang w:val="en-US" w:eastAsia="zh-CN"/>
        </w:rPr>
        <w:t>附件4：</w:t>
      </w:r>
    </w:p>
    <w:p>
      <w:pPr>
        <w:adjustRightInd w:val="0"/>
        <w:snapToGrid w:val="0"/>
        <w:jc w:val="center"/>
        <w:rPr>
          <w:rFonts w:hint="eastAsia" w:ascii="Verdana" w:hAnsi="Verdana"/>
          <w:b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Verdana" w:hAnsi="Verdana"/>
          <w:b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Verdana" w:hAnsi="Verdana"/>
          <w:b/>
          <w:bCs/>
          <w:sz w:val="36"/>
          <w:szCs w:val="36"/>
          <w:lang w:val="en-US" w:eastAsia="zh-CN"/>
        </w:rPr>
      </w:pPr>
      <w:r>
        <w:rPr>
          <w:rFonts w:hint="eastAsia" w:ascii="Verdana" w:hAnsi="Verdana"/>
          <w:b/>
          <w:bCs/>
          <w:sz w:val="36"/>
          <w:szCs w:val="36"/>
          <w:lang w:val="en-US" w:eastAsia="zh-CN"/>
        </w:rPr>
        <w:t>电动伸缩门采购需求</w:t>
      </w:r>
    </w:p>
    <w:p>
      <w:pPr>
        <w:adjustRightInd w:val="0"/>
        <w:snapToGrid w:val="0"/>
        <w:rPr>
          <w:rFonts w:hint="eastAsia" w:ascii="Verdana" w:hAnsi="Verdana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page" w:horzAnchor="page" w:tblpX="1335" w:tblpY="3127"/>
        <w:tblW w:w="98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8"/>
        <w:gridCol w:w="722"/>
        <w:gridCol w:w="722"/>
        <w:gridCol w:w="3414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</w:t>
            </w:r>
            <w:bookmarkStart w:id="0" w:name="_GoBack"/>
            <w:bookmarkEnd w:id="0"/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规格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长×高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数量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材料规格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门长2.4米*高1.8米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米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3414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主料：异型管</w:t>
            </w:r>
            <w:r>
              <w:rPr>
                <w:rFonts w:hint="eastAsia"/>
                <w:lang w:val="en-US" w:eastAsia="zh-CN"/>
              </w:rPr>
              <w:t>50×51*0.8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榄子：</w:t>
            </w:r>
            <w:r>
              <w:rPr>
                <w:rFonts w:hint="eastAsia"/>
                <w:lang w:val="en-US" w:eastAsia="zh-CN"/>
              </w:rPr>
              <w:t>48*36*0.8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轮中:600 mm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3排联动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350管距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材质：不锈钢材质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exac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智能驱动系统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无轨双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电机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1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886"/>
              </w:tabs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涡轮电机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370W</w:t>
            </w:r>
          </w:p>
        </w:tc>
        <w:tc>
          <w:tcPr>
            <w:tcW w:w="722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722" w:type="dxa"/>
            <w:vMerge w:val="restart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机械缓冲装置</w:t>
            </w:r>
          </w:p>
        </w:tc>
        <w:tc>
          <w:tcPr>
            <w:tcW w:w="72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电子软驱动装置</w:t>
            </w:r>
          </w:p>
        </w:tc>
        <w:tc>
          <w:tcPr>
            <w:tcW w:w="72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exac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无触点控制系统</w:t>
            </w:r>
          </w:p>
        </w:tc>
        <w:tc>
          <w:tcPr>
            <w:tcW w:w="72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exac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智能专用电箱</w:t>
            </w:r>
          </w:p>
        </w:tc>
        <w:tc>
          <w:tcPr>
            <w:tcW w:w="72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exac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无档级离合装置</w:t>
            </w:r>
          </w:p>
        </w:tc>
        <w:tc>
          <w:tcPr>
            <w:tcW w:w="72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热敏保护装置</w:t>
            </w:r>
          </w:p>
        </w:tc>
        <w:tc>
          <w:tcPr>
            <w:tcW w:w="72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exac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显示屏</w:t>
            </w:r>
          </w:p>
        </w:tc>
        <w:tc>
          <w:tcPr>
            <w:tcW w:w="19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可滚动显示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</w:rPr>
              <w:t>00字</w:t>
            </w:r>
          </w:p>
        </w:tc>
        <w:tc>
          <w:tcPr>
            <w:tcW w:w="722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722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34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rPr>
          <w:rFonts w:hint="eastAsia" w:ascii="Verdana" w:hAnsi="Verdana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产品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要求</w:t>
      </w:r>
      <w:r>
        <w:rPr>
          <w:rFonts w:hint="eastAsia" w:ascii="宋体" w:hAnsi="宋体"/>
          <w:b/>
          <w:color w:val="000000"/>
          <w:sz w:val="24"/>
        </w:rPr>
        <w:t>：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精抛不锈钢产品，外观时尚美观，表面如镜面，光鲜亮丽.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结构经典，简单易行有效，稳定性好，美观实用，视觉效果好.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交叉榄子采用最先进科技反窝孔技术，提高了门体伸缩灵活性，大大提高了门的使用寿命.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黑体" w:hAnsi="宋体" w:eastAsia="黑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特有的数码滚动显示屏，可根据客户意愿显示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500个字以内的广告宣传语.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黑体" w:hAnsi="宋体" w:eastAsia="黑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数码遥控器.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黑体" w:hAnsi="宋体" w:eastAsia="黑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特有的涡轮电机具有热敏保护装置及机械缓冲置与电子软驱动装置，适合频繁开启大门.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黑体" w:hAnsi="宋体" w:eastAsia="黑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铝合金门每个孔眼装有PA耐磨套，不锈钢门采用反窝管技术.（比钻孔寿命高达10年以上）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黑体" w:hAnsi="宋体" w:eastAsia="黑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电源压：220v,功率常规有轨370W，电流5A。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黑体" w:hAnsi="宋体" w:eastAsia="黑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绝缘：E级别.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电机转速：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1400转/分.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移动速度：17-19m/分.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主机牵引门排极限30m.</w:t>
      </w:r>
    </w:p>
    <w:p>
      <w:pPr>
        <w:numPr>
          <w:ilvl w:val="0"/>
          <w:numId w:val="0"/>
        </w:numPr>
        <w:adjustRightInd w:val="0"/>
        <w:snapToGrid w:val="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172720</wp:posOffset>
            </wp:positionV>
            <wp:extent cx="3969385" cy="1839595"/>
            <wp:effectExtent l="0" t="0" r="12065" b="825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Verdana" w:hAnsi="Verdana"/>
          <w:b w:val="0"/>
          <w:bCs w:val="0"/>
          <w:sz w:val="28"/>
          <w:szCs w:val="28"/>
          <w:u w:val="single" w:color="auto"/>
          <w:lang w:val="en-US" w:eastAsia="zh-CN"/>
        </w:rPr>
      </w:pPr>
    </w:p>
    <w:p/>
    <w:sectPr>
      <w:pgSz w:w="11906" w:h="16838"/>
      <w:pgMar w:top="579" w:right="828" w:bottom="62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U5N2ZlODkwODllYjAyZGJiZGYxZmJlYzE4ZWQifQ=="/>
  </w:docVars>
  <w:rsids>
    <w:rsidRoot w:val="3F384E90"/>
    <w:rsid w:val="13DB629F"/>
    <w:rsid w:val="3F3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2024-09-09T06:43:00Z</dcterms:created>
  <dc:creator>18岁了很多年</dc:creator>
  <cp:lastModifiedBy>18岁了很多年</cp:lastModifiedBy>
  <dcterms:modified xsi:type="dcterms:W3CDTF">2024-09-09T06:47:34Z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09A3793E9D9F4B39B87581C561823AB3_11</vt:lpwstr>
  </property>
</Properties>
</file>