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firstLine="241" w:firstLineChars="100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1：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投标人须知前附表</w:t>
      </w:r>
    </w:p>
    <w:tbl>
      <w:tblPr>
        <w:tblStyle w:val="4"/>
        <w:tblW w:w="8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8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8148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/>
              </w:rPr>
              <w:t>内              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48" w:type="dxa"/>
            <w:noWrap w:val="0"/>
            <w:vAlign w:val="top"/>
          </w:tcPr>
          <w:p>
            <w:pPr>
              <w:widowControl/>
              <w:shd w:val="clear" w:color="auto" w:fill="FFFFFF"/>
              <w:spacing w:beforeAutospacing="1" w:afterAutospacing="1" w:line="39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项目名称：</w:t>
            </w:r>
            <w:r>
              <w:rPr>
                <w:rFonts w:hint="eastAsia"/>
                <w:sz w:val="24"/>
                <w:szCs w:val="24"/>
              </w:rPr>
              <w:t>霍邱县第二人民医院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门诊楼原体检中心、检验科改造及院东围墙消防通道安装电动门工程</w:t>
            </w:r>
            <w:r>
              <w:rPr>
                <w:rFonts w:hint="eastAsia"/>
                <w:sz w:val="24"/>
                <w:szCs w:val="24"/>
              </w:rPr>
              <w:t>采购项目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2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项目编号：HQEY-2024ZW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14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采购人：霍邱县第二人民医院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地址：霍邱县城关镇蓼南路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14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招标方式：院网招标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开标时间：2024年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月13日10:00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开标地点：住院部大楼十六楼小会议室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14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投标文件所需份数：3份，正本壹份；副本贰份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148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项目分为三个施工地点：1：门诊楼原体检中心改造项目、2：门诊楼原检验科改造项目、3：东院墙消防通道电动门安装项目。现场环境及工程量请投标人详细勘察后谨慎报价，附件中提供的工程量仅做参考，具体以实际勘察为准，该项目为包干项目，因勘察不到位而引起的错报、漏报项均由中标人自行负责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14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签订合同时间及地点：公告结束，中标人应在3日内自行到医院拿取中标通知书，并签订合同。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148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本项目控制价中包含设计费1950.00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元，此项为不可竞争费用，该设计费由中标单位直接支付给设计公司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148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施工地点：霍邱县第二人民医院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148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施工时效：合同签订后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个日历天内改造施工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148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服务保修期：质保期不低于两年，质保期内如出现非人为损坏，由中标人免费进行维修。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148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付款方式：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经甲方验收后付合同额的95%，剩余5%质保期满后一次性无息付清。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14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评标方法：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完全符合条件最低价者中标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148" w:type="dxa"/>
            <w:noWrap w:val="0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为提高院网采购效率，投标人不足三家的，评委会可现场决定是否采用竞争性谈判或单一来源方式采购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MjU5N2ZlODkwODllYjAyZGJiZGYxZmJlYzE4ZWQifQ=="/>
  </w:docVars>
  <w:rsids>
    <w:rsidRoot w:val="6EF32C74"/>
    <w:rsid w:val="107622EA"/>
    <w:rsid w:val="108F4DEA"/>
    <w:rsid w:val="17A61740"/>
    <w:rsid w:val="17D96B2F"/>
    <w:rsid w:val="1BF146E6"/>
    <w:rsid w:val="4B6E6366"/>
    <w:rsid w:val="6EF3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autoRedefine/>
    <w:qFormat/>
    <w:uiPriority w:val="99"/>
    <w:pPr>
      <w:spacing w:after="120" w:line="480" w:lineRule="auto"/>
      <w:ind w:left="420" w:leftChars="200"/>
    </w:pPr>
    <w:rPr>
      <w:rFonts w:ascii="Calibri" w:hAnsi="Calibri" w:eastAsia="宋体" w:cs="Times New Roman"/>
      <w:sz w:val="21"/>
      <w:szCs w:val="24"/>
    </w:rPr>
  </w:style>
  <w:style w:type="paragraph" w:styleId="3">
    <w:name w:val="Plain Text"/>
    <w:basedOn w:val="1"/>
    <w:autoRedefine/>
    <w:qFormat/>
    <w:uiPriority w:val="0"/>
    <w:rPr>
      <w:rFonts w:ascii="宋体" w:hAnsi="Courier New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958</Words>
  <Characters>1058</Characters>
  <Lines>0</Lines>
  <Paragraphs>0</Paragraphs>
  <TotalTime>3793</TotalTime>
  <ScaleCrop>false</ScaleCrop>
  <LinksUpToDate>false</LinksUpToDate>
  <CharactersWithSpaces>1080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2024-09-06T09:02:00Z</dcterms:created>
  <dc:creator>18岁了很多年</dc:creator>
  <cp:lastModifiedBy>18岁了很多年</cp:lastModifiedBy>
  <dcterms:modified xsi:type="dcterms:W3CDTF">2024-09-10T00:10:31Z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BED70AA822DB4A02933FA75D3C995882_13</vt:lpwstr>
  </property>
</Properties>
</file>