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ascii="宋体" w:hAnsi="宋体"/>
          <w:b/>
          <w:bCs/>
          <w:sz w:val="24"/>
          <w:szCs w:val="24"/>
        </w:rPr>
        <w:t>(一)评标办法</w:t>
      </w:r>
    </w:p>
    <w:p>
      <w:pPr>
        <w:spacing w:before="159" w:beforeLines="50" w:after="159" w:afterLines="50" w:line="500" w:lineRule="exact"/>
        <w:ind w:firstLine="480" w:firstLineChars="200"/>
        <w:rPr>
          <w:rFonts w:hint="eastAsia"/>
          <w:b/>
          <w:bCs/>
          <w:sz w:val="32"/>
          <w:szCs w:val="32"/>
        </w:rPr>
      </w:pPr>
      <w:r>
        <w:rPr>
          <w:rFonts w:hint="eastAsia" w:ascii="宋体" w:hAnsi="宋体"/>
          <w:sz w:val="24"/>
        </w:rPr>
        <w:t>本次评标采用</w:t>
      </w:r>
      <w:r>
        <w:rPr>
          <w:rFonts w:hint="eastAsia" w:ascii="宋体" w:hAnsi="宋体"/>
          <w:b/>
          <w:sz w:val="24"/>
        </w:rPr>
        <w:t>综合评分法</w:t>
      </w:r>
      <w:r>
        <w:rPr>
          <w:rFonts w:hint="eastAsia" w:ascii="宋体" w:hAnsi="宋体"/>
          <w:sz w:val="24"/>
          <w:lang w:eastAsia="zh-CN"/>
        </w:rPr>
        <w:t>,</w:t>
      </w:r>
      <w:r>
        <w:rPr>
          <w:rFonts w:hint="eastAsia" w:ascii="宋体" w:hAnsi="宋体"/>
          <w:sz w:val="24"/>
        </w:rPr>
        <w:t>总分为100分</w:t>
      </w:r>
      <w:r>
        <w:rPr>
          <w:rFonts w:hint="eastAsia" w:ascii="宋体" w:hAnsi="宋体"/>
          <w:sz w:val="24"/>
          <w:lang w:eastAsia="zh-CN"/>
        </w:rPr>
        <w:t>,</w:t>
      </w:r>
      <w:r>
        <w:rPr>
          <w:rFonts w:hint="eastAsia" w:ascii="宋体" w:hAnsi="宋体"/>
          <w:sz w:val="24"/>
        </w:rPr>
        <w:t>其中价格分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分、技术分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分。合格投标人的综合得分为所有评委评分的价格评分与技术评分总和的算术平均值</w:t>
      </w:r>
      <w:r>
        <w:rPr>
          <w:rFonts w:hint="eastAsia" w:ascii="宋体" w:hAnsi="宋体"/>
          <w:sz w:val="24"/>
          <w:lang w:eastAsia="zh-CN"/>
        </w:rPr>
        <w:t>,</w:t>
      </w:r>
      <w:r>
        <w:rPr>
          <w:rFonts w:hint="eastAsia" w:ascii="宋体" w:hAnsi="宋体"/>
          <w:sz w:val="24"/>
        </w:rPr>
        <w:t>中标候选资格按综合得分由高到低顺序排列；得分相同的</w:t>
      </w:r>
      <w:r>
        <w:rPr>
          <w:rFonts w:hint="eastAsia" w:ascii="宋体" w:hAnsi="宋体"/>
          <w:sz w:val="24"/>
          <w:lang w:eastAsia="zh-CN"/>
        </w:rPr>
        <w:t>,</w:t>
      </w:r>
      <w:r>
        <w:rPr>
          <w:rFonts w:hint="eastAsia" w:ascii="宋体" w:hAnsi="宋体"/>
          <w:sz w:val="24"/>
        </w:rPr>
        <w:t>投标报价低者排名优先；投标报价仍相同的</w:t>
      </w:r>
      <w:r>
        <w:rPr>
          <w:rFonts w:hint="eastAsia" w:ascii="宋体" w:hAnsi="宋体"/>
          <w:sz w:val="24"/>
          <w:lang w:eastAsia="zh-CN"/>
        </w:rPr>
        <w:t>,</w:t>
      </w:r>
      <w:r>
        <w:rPr>
          <w:rFonts w:hint="eastAsia" w:ascii="宋体" w:hAnsi="宋体"/>
          <w:sz w:val="24"/>
        </w:rPr>
        <w:t>技术分高者排名优先；仍相同的</w:t>
      </w:r>
      <w:r>
        <w:rPr>
          <w:rFonts w:hint="eastAsia" w:ascii="宋体" w:hAnsi="宋体"/>
          <w:sz w:val="24"/>
          <w:lang w:eastAsia="zh-CN"/>
        </w:rPr>
        <w:t>,</w:t>
      </w:r>
      <w:r>
        <w:rPr>
          <w:rFonts w:hint="eastAsia" w:ascii="宋体" w:hAnsi="宋体"/>
          <w:sz w:val="24"/>
        </w:rPr>
        <w:t>由采购人代表在监管部门监督下抽签确定排名。排名第一的投标人为第一中标候选人,排名第二的投标人为第二中标候选人</w:t>
      </w:r>
      <w:r>
        <w:rPr>
          <w:rFonts w:hint="eastAsia" w:ascii="宋体" w:hAnsi="宋体"/>
          <w:sz w:val="24"/>
          <w:lang w:eastAsia="zh-CN"/>
        </w:rPr>
        <w:t>,</w:t>
      </w:r>
      <w:r>
        <w:rPr>
          <w:rFonts w:hint="eastAsia" w:ascii="宋体" w:hAnsi="宋体"/>
          <w:sz w:val="24"/>
        </w:rPr>
        <w:t>排名第三的投标人为第三中标候选人。</w:t>
      </w:r>
      <w:r>
        <w:rPr>
          <w:rFonts w:hint="eastAsia" w:ascii="宋体" w:hAnsi="宋体"/>
          <w:bCs/>
          <w:sz w:val="24"/>
        </w:rPr>
        <w:t>评分过程四舍五入</w:t>
      </w:r>
      <w:r>
        <w:rPr>
          <w:rFonts w:hint="eastAsia" w:ascii="宋体" w:hAnsi="宋体"/>
          <w:bCs/>
          <w:sz w:val="24"/>
          <w:lang w:eastAsia="zh-CN"/>
        </w:rPr>
        <w:t>,</w:t>
      </w:r>
      <w:r>
        <w:rPr>
          <w:rFonts w:hint="eastAsia" w:ascii="宋体" w:hAnsi="宋体"/>
          <w:bCs/>
          <w:sz w:val="24"/>
        </w:rPr>
        <w:t>并保留小数2位。</w:t>
      </w:r>
    </w:p>
    <w:p>
      <w:pPr>
        <w:pStyle w:val="2"/>
        <w:spacing w:before="0" w:after="0" w:line="360" w:lineRule="auto"/>
        <w:ind w:firstLine="0"/>
        <w:rPr>
          <w:rFonts w:hint="eastAsia"/>
          <w:sz w:val="28"/>
          <w:szCs w:val="28"/>
        </w:rPr>
      </w:pPr>
      <w:r>
        <w:rPr>
          <w:rFonts w:hint="eastAsia" w:ascii="宋体" w:hAnsi="宋体" w:eastAsia="宋体"/>
          <w:sz w:val="24"/>
          <w:szCs w:val="24"/>
        </w:rPr>
        <w:t>(二)评分细则</w:t>
      </w:r>
    </w:p>
    <w:p>
      <w:pPr>
        <w:rPr>
          <w:rFonts w:hint="eastAsia"/>
        </w:rPr>
      </w:pP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24"/>
        <w:gridCol w:w="985"/>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2" w:type="dxa"/>
            <w:gridSpan w:val="2"/>
            <w:noWrap w:val="0"/>
            <w:vAlign w:val="center"/>
          </w:tcPr>
          <w:p>
            <w:pPr>
              <w:spacing w:line="300" w:lineRule="exact"/>
              <w:jc w:val="center"/>
              <w:rPr>
                <w:rFonts w:hint="eastAsia" w:ascii="宋体" w:hAnsi="宋体" w:cs="宋体"/>
                <w:b/>
                <w:sz w:val="24"/>
              </w:rPr>
            </w:pPr>
            <w:r>
              <w:rPr>
                <w:rFonts w:hint="eastAsia" w:ascii="宋体" w:hAnsi="宋体" w:cs="宋体"/>
                <w:b/>
                <w:sz w:val="24"/>
              </w:rPr>
              <w:t>评审内容</w:t>
            </w:r>
          </w:p>
        </w:tc>
        <w:tc>
          <w:tcPr>
            <w:tcW w:w="985" w:type="dxa"/>
            <w:noWrap w:val="0"/>
            <w:vAlign w:val="center"/>
          </w:tcPr>
          <w:p>
            <w:pPr>
              <w:spacing w:line="30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满分值</w:t>
            </w:r>
          </w:p>
        </w:tc>
        <w:tc>
          <w:tcPr>
            <w:tcW w:w="5892" w:type="dxa"/>
            <w:noWrap w:val="0"/>
            <w:vAlign w:val="center"/>
          </w:tcPr>
          <w:p>
            <w:pPr>
              <w:spacing w:line="300" w:lineRule="exact"/>
              <w:jc w:val="center"/>
              <w:rPr>
                <w:rFonts w:hint="eastAsia" w:ascii="宋体" w:hAnsi="宋体" w:cs="宋体"/>
                <w:b/>
                <w:sz w:val="24"/>
              </w:rPr>
            </w:pPr>
            <w:r>
              <w:rPr>
                <w:rFonts w:hint="eastAsia" w:ascii="宋体" w:hAnsi="宋体" w:cs="宋体"/>
                <w:b/>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038" w:type="dxa"/>
            <w:noWrap w:val="0"/>
            <w:vAlign w:val="center"/>
          </w:tcPr>
          <w:p>
            <w:pPr>
              <w:spacing w:line="300" w:lineRule="exact"/>
              <w:jc w:val="center"/>
              <w:rPr>
                <w:rFonts w:hint="eastAsia" w:ascii="宋体" w:hAnsi="宋体" w:cs="宋体"/>
                <w:b/>
                <w:sz w:val="24"/>
              </w:rPr>
            </w:pPr>
            <w:r>
              <w:rPr>
                <w:rFonts w:hint="eastAsia" w:ascii="宋体" w:hAnsi="宋体" w:cs="宋体"/>
                <w:sz w:val="24"/>
              </w:rPr>
              <w:t>价格分(</w:t>
            </w:r>
            <w:r>
              <w:rPr>
                <w:rFonts w:hint="eastAsia" w:ascii="宋体" w:hAnsi="宋体" w:cs="宋体"/>
                <w:sz w:val="24"/>
                <w:lang w:val="en-US" w:eastAsia="zh-CN"/>
              </w:rPr>
              <w:t>5</w:t>
            </w:r>
            <w:r>
              <w:rPr>
                <w:rFonts w:hint="eastAsia" w:ascii="宋体" w:hAnsi="宋体" w:cs="宋体"/>
                <w:sz w:val="24"/>
              </w:rPr>
              <w:t>0分)</w:t>
            </w:r>
          </w:p>
        </w:tc>
        <w:tc>
          <w:tcPr>
            <w:tcW w:w="1224" w:type="dxa"/>
            <w:noWrap w:val="0"/>
            <w:vAlign w:val="center"/>
          </w:tcPr>
          <w:p>
            <w:pPr>
              <w:spacing w:line="300" w:lineRule="exact"/>
              <w:jc w:val="center"/>
              <w:rPr>
                <w:rFonts w:hint="eastAsia" w:ascii="宋体" w:hAnsi="宋体" w:cs="宋体"/>
                <w:b/>
                <w:sz w:val="24"/>
              </w:rPr>
            </w:pPr>
            <w:r>
              <w:rPr>
                <w:rFonts w:hint="eastAsia" w:ascii="宋体" w:hAnsi="宋体" w:cs="宋体"/>
                <w:sz w:val="24"/>
                <w:lang w:eastAsia="zh-CN"/>
              </w:rPr>
              <w:t>投标价格</w:t>
            </w:r>
          </w:p>
        </w:tc>
        <w:tc>
          <w:tcPr>
            <w:tcW w:w="985" w:type="dxa"/>
            <w:noWrap w:val="0"/>
            <w:vAlign w:val="center"/>
          </w:tcPr>
          <w:p>
            <w:pPr>
              <w:spacing w:line="300" w:lineRule="exact"/>
              <w:jc w:val="center"/>
              <w:rPr>
                <w:rFonts w:hint="eastAsia" w:ascii="宋体" w:hAnsi="宋体" w:cs="宋体"/>
                <w:b/>
                <w:sz w:val="24"/>
              </w:rPr>
            </w:pPr>
            <w:r>
              <w:rPr>
                <w:rFonts w:hint="eastAsia" w:ascii="宋体" w:hAnsi="宋体" w:cs="宋体"/>
                <w:sz w:val="24"/>
                <w:lang w:val="en-US" w:eastAsia="zh-CN"/>
              </w:rPr>
              <w:t>50</w:t>
            </w:r>
          </w:p>
        </w:tc>
        <w:tc>
          <w:tcPr>
            <w:tcW w:w="58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sz w:val="24"/>
              </w:rPr>
            </w:pPr>
            <w:r>
              <w:rPr>
                <w:rFonts w:hint="eastAsia" w:ascii="宋体" w:hAnsi="宋体" w:cs="宋体"/>
                <w:sz w:val="24"/>
              </w:rPr>
              <w:t>价格分统一采用低价优先法</w:t>
            </w:r>
            <w:r>
              <w:rPr>
                <w:rFonts w:hint="eastAsia" w:ascii="宋体" w:hAnsi="宋体" w:cs="宋体"/>
                <w:sz w:val="24"/>
                <w:lang w:eastAsia="zh-CN"/>
              </w:rPr>
              <w:t>,</w:t>
            </w:r>
            <w:r>
              <w:rPr>
                <w:rFonts w:hint="eastAsia" w:ascii="宋体" w:hAnsi="宋体" w:cs="宋体"/>
                <w:sz w:val="24"/>
              </w:rPr>
              <w:t>即满足招标文件要求且投标价格最低的投标报价为评标基准价</w:t>
            </w:r>
            <w:r>
              <w:rPr>
                <w:rFonts w:hint="eastAsia" w:ascii="宋体" w:hAnsi="宋体" w:cs="宋体"/>
                <w:sz w:val="24"/>
                <w:lang w:eastAsia="zh-CN"/>
              </w:rPr>
              <w:t>,</w:t>
            </w:r>
            <w:r>
              <w:rPr>
                <w:rFonts w:hint="eastAsia" w:ascii="宋体" w:hAnsi="宋体" w:cs="宋体"/>
                <w:sz w:val="24"/>
              </w:rPr>
              <w:t>其价格分为满分</w:t>
            </w:r>
            <w:r>
              <w:rPr>
                <w:rFonts w:hint="eastAsia" w:ascii="宋体" w:hAnsi="宋体" w:cs="宋体"/>
                <w:sz w:val="24"/>
                <w:lang w:val="en-US" w:eastAsia="zh-CN"/>
              </w:rPr>
              <w:t>5</w:t>
            </w:r>
            <w:r>
              <w:rPr>
                <w:rFonts w:hint="eastAsia" w:ascii="宋体" w:hAnsi="宋体" w:cs="宋体"/>
                <w:sz w:val="24"/>
              </w:rPr>
              <w:t>0分。其他投标供应商的价格为统一按照下列公式计算：投标报价得分=</w:t>
            </w:r>
            <w:r>
              <w:rPr>
                <w:rFonts w:hint="eastAsia" w:ascii="宋体" w:hAnsi="宋体" w:cs="宋体"/>
                <w:sz w:val="24"/>
                <w:lang w:eastAsia="zh-CN"/>
              </w:rPr>
              <w:t>(</w:t>
            </w:r>
            <w:r>
              <w:rPr>
                <w:rFonts w:hint="eastAsia" w:ascii="宋体" w:hAnsi="宋体" w:cs="宋体"/>
                <w:sz w:val="24"/>
              </w:rPr>
              <w:t>评标基准价/投标报价</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1038" w:type="dxa"/>
            <w:vMerge w:val="restart"/>
            <w:noWrap w:val="0"/>
            <w:vAlign w:val="center"/>
          </w:tcPr>
          <w:p>
            <w:pPr>
              <w:autoSpaceDN w:val="0"/>
              <w:spacing w:line="300" w:lineRule="exact"/>
              <w:jc w:val="center"/>
              <w:textAlignment w:val="center"/>
              <w:rPr>
                <w:rFonts w:hint="eastAsia" w:ascii="宋体" w:hAnsi="宋体" w:cs="宋体"/>
                <w:sz w:val="24"/>
              </w:rPr>
            </w:pPr>
            <w:r>
              <w:rPr>
                <w:rFonts w:hint="eastAsia" w:ascii="宋体" w:hAnsi="宋体" w:cs="宋体"/>
                <w:sz w:val="24"/>
              </w:rPr>
              <w:t>技术分(</w:t>
            </w:r>
            <w:r>
              <w:rPr>
                <w:rFonts w:hint="eastAsia" w:ascii="宋体" w:hAnsi="宋体" w:cs="宋体"/>
                <w:sz w:val="24"/>
                <w:lang w:val="en-US" w:eastAsia="zh-CN"/>
              </w:rPr>
              <w:t>5</w:t>
            </w:r>
            <w:r>
              <w:rPr>
                <w:rFonts w:hint="eastAsia" w:ascii="宋体" w:hAnsi="宋体" w:cs="宋体"/>
                <w:sz w:val="24"/>
              </w:rPr>
              <w:t>0分)</w:t>
            </w:r>
          </w:p>
        </w:tc>
        <w:tc>
          <w:tcPr>
            <w:tcW w:w="1224"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rPr>
              <w:t>技术参数</w:t>
            </w:r>
            <w:r>
              <w:rPr>
                <w:rFonts w:hint="eastAsia" w:ascii="宋体" w:hAnsi="宋体" w:cs="宋体"/>
                <w:sz w:val="24"/>
                <w:lang w:eastAsia="zh-CN"/>
              </w:rPr>
              <w:t>响应情况</w:t>
            </w:r>
          </w:p>
        </w:tc>
        <w:tc>
          <w:tcPr>
            <w:tcW w:w="985" w:type="dxa"/>
            <w:noWrap w:val="0"/>
            <w:vAlign w:val="center"/>
          </w:tcPr>
          <w:p>
            <w:pPr>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589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b/>
                <w:sz w:val="24"/>
                <w:szCs w:val="24"/>
              </w:rPr>
              <w:t>技术响应性：</w:t>
            </w:r>
            <w:r>
              <w:rPr>
                <w:rFonts w:hint="eastAsia" w:ascii="宋体" w:hAnsi="宋体" w:eastAsia="宋体" w:cs="宋体"/>
                <w:sz w:val="24"/>
                <w:szCs w:val="24"/>
              </w:rPr>
              <w:t xml:space="preserve">技术条款要求的整体响应情况进行综合评价，本项满分为 </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分；再根据投标产品技术参数对招标文件中技术条款要求的整体响应情况进行综合评价，★参数不满足每项扣5分，非星号参数不满足每项扣</w:t>
            </w:r>
            <w:r>
              <w:rPr>
                <w:rFonts w:hint="eastAsia" w:ascii="宋体" w:hAnsi="宋体" w:cs="宋体"/>
                <w:sz w:val="24"/>
                <w:szCs w:val="24"/>
                <w:lang w:val="en-US" w:eastAsia="zh-CN"/>
              </w:rPr>
              <w:t>2</w:t>
            </w:r>
            <w:r>
              <w:rPr>
                <w:rFonts w:hint="eastAsia" w:ascii="宋体" w:hAnsi="宋体" w:eastAsia="宋体" w:cs="宋体"/>
                <w:sz w:val="24"/>
                <w:szCs w:val="24"/>
              </w:rPr>
              <w:t>分，扣完为止（★参数及正偏离参数在投标文件中需提供相应支撑材料（包括但不限于产品彩页，检测报告，技术白皮书等）并标注页码，如不提供相应支撑材料则评标时不予认可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38"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4" w:type="dxa"/>
            <w:noWrap w:val="0"/>
            <w:vAlign w:val="center"/>
          </w:tcPr>
          <w:p>
            <w:pPr>
              <w:autoSpaceDN w:val="0"/>
              <w:spacing w:line="30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供货周期</w:t>
            </w:r>
          </w:p>
        </w:tc>
        <w:tc>
          <w:tcPr>
            <w:tcW w:w="985"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4</w:t>
            </w:r>
          </w:p>
        </w:tc>
        <w:tc>
          <w:tcPr>
            <w:tcW w:w="5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lang w:val="en-US" w:eastAsia="zh-CN"/>
              </w:rPr>
            </w:pPr>
            <w:r>
              <w:rPr>
                <w:rFonts w:hint="eastAsia"/>
                <w:sz w:val="24"/>
                <w:szCs w:val="24"/>
                <w:lang w:val="en-US" w:eastAsia="zh-CN"/>
              </w:rPr>
              <w:t>按招标要求时效供货不得分，比招标限制交货日每提前1天得1分，满分4分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38"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4" w:type="dxa"/>
            <w:noWrap w:val="0"/>
            <w:vAlign w:val="center"/>
          </w:tcPr>
          <w:p>
            <w:pPr>
              <w:autoSpaceDN w:val="0"/>
              <w:spacing w:line="3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样品</w:t>
            </w:r>
          </w:p>
        </w:tc>
        <w:tc>
          <w:tcPr>
            <w:tcW w:w="985" w:type="dxa"/>
            <w:noWrap w:val="0"/>
            <w:vAlign w:val="center"/>
          </w:tcPr>
          <w:p>
            <w:pPr>
              <w:spacing w:line="300" w:lineRule="exact"/>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20</w:t>
            </w:r>
          </w:p>
        </w:tc>
        <w:tc>
          <w:tcPr>
            <w:tcW w:w="5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Calibri" w:hAnsi="Calibri" w:eastAsia="宋体" w:cs="Times New Roman"/>
                <w:kern w:val="2"/>
                <w:sz w:val="21"/>
                <w:szCs w:val="24"/>
                <w:lang w:val="en-US" w:eastAsia="zh-CN" w:bidi="ar-SA"/>
              </w:rPr>
            </w:pPr>
            <w:r>
              <w:rPr>
                <w:rFonts w:hint="eastAsia" w:cs="Times New Roman"/>
                <w:kern w:val="2"/>
                <w:sz w:val="24"/>
                <w:szCs w:val="24"/>
                <w:lang w:val="en-US" w:eastAsia="zh-CN" w:bidi="ar-SA"/>
              </w:rPr>
              <w:t>现场评委根据样品的材质、工艺水平等进行打分，优秀20分，良好15分，一般10分，差0分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38" w:type="dxa"/>
            <w:vMerge w:val="continue"/>
            <w:noWrap w:val="0"/>
            <w:vAlign w:val="center"/>
          </w:tcPr>
          <w:p>
            <w:pPr>
              <w:autoSpaceDN w:val="0"/>
              <w:spacing w:line="360" w:lineRule="auto"/>
              <w:jc w:val="center"/>
              <w:textAlignment w:val="center"/>
              <w:rPr>
                <w:rFonts w:hint="eastAsia" w:ascii="宋体" w:hAnsi="宋体" w:cs="宋体"/>
                <w:sz w:val="24"/>
              </w:rPr>
            </w:pPr>
          </w:p>
        </w:tc>
        <w:tc>
          <w:tcPr>
            <w:tcW w:w="1224" w:type="dxa"/>
            <w:noWrap w:val="0"/>
            <w:vAlign w:val="center"/>
          </w:tcPr>
          <w:p>
            <w:pPr>
              <w:autoSpaceDN w:val="0"/>
              <w:spacing w:line="30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质保</w:t>
            </w:r>
          </w:p>
        </w:tc>
        <w:tc>
          <w:tcPr>
            <w:tcW w:w="985" w:type="dxa"/>
            <w:noWrap w:val="0"/>
            <w:vAlign w:val="center"/>
          </w:tcPr>
          <w:p>
            <w:pPr>
              <w:spacing w:line="300" w:lineRule="exact"/>
              <w:jc w:val="center"/>
              <w:rPr>
                <w:rFonts w:hint="default" w:ascii="宋体" w:hAnsi="宋体" w:cs="宋体"/>
                <w:sz w:val="24"/>
                <w:lang w:val="en-US" w:eastAsia="zh-CN"/>
              </w:rPr>
            </w:pPr>
            <w:r>
              <w:rPr>
                <w:rFonts w:hint="eastAsia" w:ascii="宋体" w:hAnsi="宋体" w:cs="宋体"/>
                <w:sz w:val="24"/>
                <w:lang w:val="en-US" w:eastAsia="zh-CN"/>
              </w:rPr>
              <w:t>6</w:t>
            </w:r>
          </w:p>
        </w:tc>
        <w:tc>
          <w:tcPr>
            <w:tcW w:w="5892" w:type="dxa"/>
            <w:noWrap w:val="0"/>
            <w:vAlign w:val="center"/>
          </w:tcPr>
          <w:p>
            <w:pPr>
              <w:widowControl/>
              <w:autoSpaceDE/>
              <w:autoSpaceDN/>
              <w:jc w:val="both"/>
              <w:rPr>
                <w:rFonts w:hint="eastAsia" w:ascii="宋体" w:hAnsi="宋体" w:eastAsia="宋体" w:cs="宋体"/>
                <w:spacing w:val="-6"/>
                <w:sz w:val="24"/>
                <w:szCs w:val="24"/>
              </w:rPr>
            </w:pPr>
            <w:r>
              <w:rPr>
                <w:rFonts w:hint="eastAsia" w:ascii="宋体" w:hAnsi="宋体" w:eastAsia="宋体" w:cs="宋体"/>
                <w:b/>
                <w:sz w:val="24"/>
                <w:szCs w:val="24"/>
              </w:rPr>
              <w:t>质保期：</w:t>
            </w:r>
            <w:r>
              <w:rPr>
                <w:rFonts w:hint="eastAsia" w:ascii="宋体" w:hAnsi="宋体" w:eastAsia="宋体" w:cs="宋体"/>
                <w:spacing w:val="-8"/>
                <w:sz w:val="24"/>
                <w:szCs w:val="24"/>
              </w:rPr>
              <w:t xml:space="preserve">投标产品质保期 </w:t>
            </w:r>
            <w:r>
              <w:rPr>
                <w:rFonts w:hint="eastAsia" w:ascii="宋体" w:hAnsi="宋体" w:eastAsia="宋体" w:cs="宋体"/>
                <w:sz w:val="24"/>
                <w:szCs w:val="24"/>
              </w:rPr>
              <w:t>1</w:t>
            </w:r>
            <w:r>
              <w:rPr>
                <w:rFonts w:hint="eastAsia" w:ascii="宋体" w:hAnsi="宋体" w:eastAsia="宋体" w:cs="宋体"/>
                <w:spacing w:val="-30"/>
                <w:sz w:val="24"/>
                <w:szCs w:val="24"/>
              </w:rPr>
              <w:t xml:space="preserve"> 年不得分，</w:t>
            </w:r>
            <w:r>
              <w:rPr>
                <w:rFonts w:hint="eastAsia" w:ascii="宋体" w:hAnsi="宋体" w:eastAsia="宋体" w:cs="宋体"/>
                <w:spacing w:val="-14"/>
                <w:sz w:val="24"/>
                <w:szCs w:val="24"/>
              </w:rPr>
              <w:t xml:space="preserve">每增加一年得 </w:t>
            </w:r>
            <w:r>
              <w:rPr>
                <w:rFonts w:hint="eastAsia" w:ascii="宋体" w:hAnsi="宋体" w:cs="宋体"/>
                <w:sz w:val="24"/>
                <w:szCs w:val="24"/>
                <w:lang w:val="en-US" w:eastAsia="zh-CN"/>
              </w:rPr>
              <w:t>3</w:t>
            </w:r>
            <w:r>
              <w:rPr>
                <w:rFonts w:hint="eastAsia" w:ascii="宋体" w:hAnsi="宋体" w:eastAsia="宋体" w:cs="宋体"/>
                <w:spacing w:val="-16"/>
                <w:sz w:val="24"/>
                <w:szCs w:val="24"/>
              </w:rPr>
              <w:t>分，最高</w:t>
            </w:r>
            <w:r>
              <w:rPr>
                <w:rFonts w:hint="eastAsia" w:ascii="宋体" w:hAnsi="宋体" w:eastAsia="宋体" w:cs="宋体"/>
                <w:spacing w:val="-20"/>
                <w:sz w:val="24"/>
                <w:szCs w:val="24"/>
              </w:rPr>
              <w:t>得分</w:t>
            </w:r>
            <w:r>
              <w:rPr>
                <w:rFonts w:hint="eastAsia" w:ascii="宋体" w:hAnsi="宋体" w:cs="宋体"/>
                <w:spacing w:val="-20"/>
                <w:sz w:val="24"/>
                <w:szCs w:val="24"/>
                <w:lang w:val="en-US" w:eastAsia="zh-CN"/>
              </w:rPr>
              <w:t>6</w:t>
            </w:r>
            <w:r>
              <w:rPr>
                <w:rFonts w:hint="eastAsia" w:ascii="宋体" w:hAnsi="宋体" w:eastAsia="宋体" w:cs="宋体"/>
                <w:spacing w:val="-11"/>
                <w:sz w:val="24"/>
                <w:szCs w:val="24"/>
              </w:rPr>
              <w:t>分。以投标函中所报质保期</w:t>
            </w:r>
            <w:bookmarkStart w:id="0" w:name="_GoBack"/>
            <w:bookmarkEnd w:id="0"/>
            <w:r>
              <w:rPr>
                <w:rFonts w:hint="eastAsia" w:ascii="宋体" w:hAnsi="宋体" w:eastAsia="宋体" w:cs="宋体"/>
                <w:spacing w:val="-11"/>
                <w:sz w:val="24"/>
                <w:szCs w:val="24"/>
              </w:rPr>
              <w:t>为准，取整年数</w:t>
            </w:r>
            <w:r>
              <w:rPr>
                <w:rFonts w:hint="eastAsia" w:ascii="宋体" w:hAnsi="宋体" w:eastAsia="宋体" w:cs="宋体"/>
                <w:spacing w:val="-6"/>
                <w:sz w:val="24"/>
                <w:szCs w:val="24"/>
              </w:rPr>
              <w:t>。</w:t>
            </w:r>
          </w:p>
          <w:p>
            <w:pPr>
              <w:widowControl/>
              <w:autoSpaceDE/>
              <w:autoSpaceDN/>
              <w:jc w:val="both"/>
              <w:rPr>
                <w:rFonts w:hint="eastAsia"/>
                <w:spacing w:val="-6"/>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DNkYmI0OWI4NmI0N2I4YzNlMTg1MjMwYjJlNmIifQ=="/>
  </w:docVars>
  <w:rsids>
    <w:rsidRoot w:val="00226D48"/>
    <w:rsid w:val="00226D48"/>
    <w:rsid w:val="06742328"/>
    <w:rsid w:val="0863416E"/>
    <w:rsid w:val="1F364A20"/>
    <w:rsid w:val="21DB1F29"/>
    <w:rsid w:val="240A400A"/>
    <w:rsid w:val="28DD6AC0"/>
    <w:rsid w:val="316B7EAF"/>
    <w:rsid w:val="31AF61E6"/>
    <w:rsid w:val="46E30BEB"/>
    <w:rsid w:val="57751FD3"/>
    <w:rsid w:val="73B50154"/>
    <w:rsid w:val="77C75964"/>
    <w:rsid w:val="7953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Table Paragraph"/>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794</Words>
  <Characters>813</Characters>
  <Lines>0</Lines>
  <Paragraphs>0</Paragraphs>
  <TotalTime>5</TotalTime>
  <ScaleCrop>false</ScaleCrop>
  <LinksUpToDate>false</LinksUpToDate>
  <CharactersWithSpaces>822</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2021-06-15T00:51:00Z</dcterms:created>
  <dc:creator>Administrator</dc:creator>
  <cp:lastModifiedBy>18岁了很多年</cp:lastModifiedBy>
  <cp:lastPrinted>2024-09-03T02:58:06Z</cp:lastPrinted>
  <dcterms:modified xsi:type="dcterms:W3CDTF">2024-09-03T02:59:25Z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89A43E70EF8F41A58A3D4178527ADD91_13</vt:lpwstr>
  </property>
</Properties>
</file>