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须免费提供配套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设备使用，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并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列出配套设备名称、数量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和生产厂家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等。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须免费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提供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配套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设备日常使用的所有专用耗材清单，确保设备正常运转。</w:t>
      </w:r>
    </w:p>
    <w:p>
      <w:p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须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承担配套设备使用期间所有维保费用。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配套设备须接入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信息系统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 xml:space="preserve">。 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、检验试剂项目和需配套检验试剂使用的检验设备项目，均须免费提供同品牌或第三方符合溯源要求的质控品。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、投标人需无条件接受因国家及安徽省相关政策（如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eastAsia="zh-CN"/>
        </w:rPr>
        <w:t>检验试剂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带量采购等）对招标结果带来的变动，投标人不得提出异议。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本次采购量为年预估量，具体采购数量以实际需要为准（分次采购）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right="-50" w:rightChars="-24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8、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技术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参数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最低检测限:≤0.3ng/ml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线性范围:试剂的线性范围为 0.3-10ng/mL，在此线性范围内，线性相关系数r应不小于 0.990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重复性:变异系数(CV)≤15%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批间差:变异系数(CV)≤20%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准确度:相对偏差的绝对值应不大于 15%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稳定性:试剂在 2-30℃条件下保存，有效期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 个月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取效期末的产品进行检测，结果符合上述要求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检测方法学：荧光免疫层析法。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right="-50" w:rightChars="-24" w:firstLine="440" w:firstLineChars="20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包装规格：≤25人份/盒</w:t>
      </w:r>
    </w:p>
    <w:p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以上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须全部满足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01F34"/>
    <w:multiLevelType w:val="singleLevel"/>
    <w:tmpl w:val="05801F3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0A0D339"/>
    <w:multiLevelType w:val="singleLevel"/>
    <w:tmpl w:val="20A0D3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2D5048E"/>
    <w:rsid w:val="16122D75"/>
    <w:rsid w:val="32D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111</Characters>
  <Lines>0</Lines>
  <Paragraphs>0</Paragraphs>
  <TotalTime>0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2024-05-17T00:28:00Z</dcterms:created>
  <dc:creator>笨鸟先飞</dc:creator>
  <cp:lastModifiedBy>笨鸟先飞</cp:lastModifiedBy>
  <dcterms:modified xsi:type="dcterms:W3CDTF">2024-06-19T02:52:46Z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5F9F3C68864E422295BE6B4FFB80DBF3_11</vt:lpwstr>
  </property>
</Properties>
</file>