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14:ligatures w14:val="none"/>
        </w:rPr>
      </w:pPr>
    </w:p>
    <w:p>
      <w:pPr>
        <w:pStyle w:val="2"/>
        <w:jc w:val="center"/>
        <w:rPr>
          <w:sz w:val="48"/>
          <w:szCs w:val="48"/>
        </w:rPr>
      </w:pPr>
      <w:r>
        <w:rPr>
          <w:rFonts w:hint="eastAsia"/>
          <w:sz w:val="48"/>
          <w:szCs w:val="48"/>
        </w:rPr>
        <w:t>采购要求</w:t>
      </w:r>
    </w:p>
    <w:p>
      <w:pPr>
        <w:pStyle w:val="3"/>
        <w:rPr>
          <w:sz w:val="24"/>
          <w:szCs w:val="24"/>
        </w:rPr>
      </w:pPr>
      <w:r>
        <w:rPr>
          <w:rFonts w:hint="eastAsia"/>
          <w:sz w:val="24"/>
          <w:szCs w:val="24"/>
        </w:rPr>
        <w:t>一、服务清单</w:t>
      </w:r>
    </w:p>
    <w:tbl>
      <w:tblPr>
        <w:tblStyle w:val="15"/>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162"/>
        <w:gridCol w:w="86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51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服务名称</w:t>
            </w:r>
          </w:p>
        </w:tc>
        <w:tc>
          <w:tcPr>
            <w:tcW w:w="8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单位</w:t>
            </w:r>
          </w:p>
        </w:tc>
        <w:tc>
          <w:tcPr>
            <w:tcW w:w="200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pStyle w:val="18"/>
              <w:numPr>
                <w:ilvl w:val="0"/>
                <w:numId w:val="1"/>
              </w:numPr>
              <w:spacing w:line="360" w:lineRule="auto"/>
              <w:ind w:left="0" w:firstLine="240" w:firstLineChars="100"/>
              <w:rPr>
                <w:rFonts w:ascii="宋体" w:hAnsi="宋体" w:eastAsia="宋体"/>
                <w:sz w:val="24"/>
                <w:szCs w:val="24"/>
              </w:rPr>
            </w:pPr>
          </w:p>
        </w:tc>
        <w:tc>
          <w:tcPr>
            <w:tcW w:w="5162" w:type="dxa"/>
            <w:vAlign w:val="center"/>
          </w:tcPr>
          <w:p>
            <w:pPr>
              <w:spacing w:line="360" w:lineRule="auto"/>
              <w:jc w:val="center"/>
              <w:rPr>
                <w:rFonts w:ascii="宋体" w:hAnsi="宋体" w:eastAsia="宋体"/>
                <w:sz w:val="24"/>
                <w:szCs w:val="24"/>
              </w:rPr>
            </w:pPr>
            <w:bookmarkStart w:id="0" w:name="_Hlk167914598"/>
            <w:r>
              <w:rPr>
                <w:rFonts w:hint="eastAsia" w:ascii="宋体" w:hAnsi="宋体" w:eastAsia="宋体"/>
                <w:sz w:val="24"/>
                <w:szCs w:val="24"/>
              </w:rPr>
              <w:t>云资源租用及运维服务</w:t>
            </w:r>
            <w:bookmarkEnd w:id="0"/>
          </w:p>
        </w:tc>
        <w:tc>
          <w:tcPr>
            <w:tcW w:w="8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年</w:t>
            </w:r>
          </w:p>
        </w:tc>
        <w:tc>
          <w:tcPr>
            <w:tcW w:w="2000" w:type="dxa"/>
            <w:vAlign w:val="center"/>
          </w:tcPr>
          <w:p>
            <w:pPr>
              <w:spacing w:line="360" w:lineRule="auto"/>
              <w:jc w:val="center"/>
              <w:rPr>
                <w:rFonts w:ascii="宋体" w:hAnsi="宋体" w:eastAsia="宋体"/>
                <w:sz w:val="24"/>
                <w:szCs w:val="24"/>
              </w:rPr>
            </w:pPr>
            <w:r>
              <w:rPr>
                <w:rFonts w:ascii="宋体" w:hAnsi="宋体" w:eastAsia="宋体"/>
                <w:sz w:val="24"/>
                <w:szCs w:val="24"/>
              </w:rPr>
              <w:t>1</w:t>
            </w:r>
          </w:p>
        </w:tc>
      </w:tr>
    </w:tbl>
    <w:p>
      <w:pPr>
        <w:pStyle w:val="3"/>
        <w:rPr>
          <w:sz w:val="24"/>
          <w:szCs w:val="24"/>
        </w:rPr>
      </w:pPr>
      <w:r>
        <w:rPr>
          <w:rFonts w:hint="eastAsia"/>
          <w:sz w:val="24"/>
          <w:szCs w:val="24"/>
        </w:rPr>
        <w:t>二、服务要求</w:t>
      </w:r>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170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99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指标</w:t>
            </w: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指标项</w:t>
            </w:r>
          </w:p>
        </w:tc>
        <w:tc>
          <w:tcPr>
            <w:tcW w:w="538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992"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云资源租用及运维服务要求</w:t>
            </w: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云运维服务总体要求</w:t>
            </w:r>
          </w:p>
        </w:tc>
        <w:tc>
          <w:tcPr>
            <w:tcW w:w="5386" w:type="dxa"/>
            <w:vAlign w:val="center"/>
          </w:tcPr>
          <w:p>
            <w:pPr>
              <w:spacing w:line="360" w:lineRule="auto"/>
              <w:rPr>
                <w:rFonts w:ascii="宋体" w:hAnsi="宋体" w:eastAsia="宋体"/>
                <w:sz w:val="24"/>
                <w:szCs w:val="24"/>
              </w:rPr>
            </w:pPr>
            <w:r>
              <w:rPr>
                <w:rFonts w:hint="eastAsia" w:ascii="宋体" w:hAnsi="宋体" w:eastAsia="宋体"/>
                <w:sz w:val="24"/>
                <w:szCs w:val="24"/>
              </w:rPr>
              <w:t>应支持基于业界主流的微服务架构体系进行开发和建设，运维人应具有丰富的云平台运维管理和底层问题解决经验，确保能够解决、修复所使用的软件中的问题。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line="360" w:lineRule="auto"/>
              <w:jc w:val="center"/>
              <w:rPr>
                <w:rFonts w:ascii="宋体" w:hAnsi="宋体" w:eastAsia="宋体"/>
                <w:sz w:val="24"/>
                <w:szCs w:val="24"/>
              </w:rPr>
            </w:pPr>
          </w:p>
        </w:tc>
        <w:tc>
          <w:tcPr>
            <w:tcW w:w="992" w:type="dxa"/>
            <w:vMerge w:val="continue"/>
            <w:vAlign w:val="center"/>
          </w:tcPr>
          <w:p>
            <w:pPr>
              <w:spacing w:line="360" w:lineRule="auto"/>
              <w:jc w:val="center"/>
              <w:rPr>
                <w:rFonts w:ascii="宋体" w:hAnsi="宋体" w:eastAsia="宋体"/>
                <w:sz w:val="24"/>
                <w:szCs w:val="24"/>
              </w:rPr>
            </w:pP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基础服务</w:t>
            </w:r>
          </w:p>
        </w:tc>
        <w:tc>
          <w:tcPr>
            <w:tcW w:w="5386" w:type="dxa"/>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应提供业务系统所需的整体计算能力和业务承载能力保障。</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云平台可靠性服务：应支持在容错、容灾、故障、攻击等场景下，通过冗余、高可用集群、应用与底层设备松耦合等特性来体现，从硬件设备冗余、链路冗余、应用容错等方面充分保证整体系统的可用性，来实现系统在故障或攻击时服务的正常使用或服务降级时的核心服务确保一定的服务能力。应能够快速恢复故障应用系统，确保业务的连续性。</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云平台建设服务：应支持对云平台上业务系统的整体建设，对各个业务系统模块建设资源应支持具体动态调整、网络支持动/静态BGP接入、支持x86及异构算力等保证业务平稳健康运行满足业务需求。应提供计算、存储、网络、安全、容器、数据库、中间件、大数据、人工智能、物联网等多种服务，满足当前及未来业务的扩展。</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平台高可用性服务：云平台业务系统建设过程中所需的中间件支持，应提供稳定的消息队列服务支撑、稳定的高速缓存存储能力支撑、大数据量写入存储能力支持、大数据量日志的数据搜索引擎能力支撑等。</w:t>
            </w:r>
          </w:p>
          <w:p>
            <w:pPr>
              <w:spacing w:line="360" w:lineRule="auto"/>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云平台服务系统持续集成与持续发布，应支持为整个业务系统敏捷版本发布提供稳定的持续集成与发布能力，提供无故障感知的服务升级能力，提供服务升级灰度发布以及滚动升级能力。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line="360" w:lineRule="auto"/>
              <w:jc w:val="center"/>
              <w:rPr>
                <w:rFonts w:ascii="宋体" w:hAnsi="宋体" w:eastAsia="宋体"/>
                <w:sz w:val="24"/>
                <w:szCs w:val="24"/>
              </w:rPr>
            </w:pPr>
          </w:p>
        </w:tc>
        <w:tc>
          <w:tcPr>
            <w:tcW w:w="992" w:type="dxa"/>
            <w:vMerge w:val="continue"/>
            <w:vAlign w:val="center"/>
          </w:tcPr>
          <w:p>
            <w:pPr>
              <w:spacing w:line="360" w:lineRule="auto"/>
              <w:jc w:val="center"/>
              <w:rPr>
                <w:rFonts w:ascii="宋体" w:hAnsi="宋体" w:eastAsia="宋体"/>
                <w:sz w:val="24"/>
                <w:szCs w:val="24"/>
              </w:rPr>
            </w:pP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安全服务</w:t>
            </w:r>
          </w:p>
        </w:tc>
        <w:tc>
          <w:tcPr>
            <w:tcW w:w="5386" w:type="dxa"/>
            <w:vAlign w:val="center"/>
          </w:tcPr>
          <w:p>
            <w:pPr>
              <w:spacing w:line="360" w:lineRule="auto"/>
              <w:rPr>
                <w:rFonts w:ascii="宋体" w:hAnsi="宋体" w:eastAsia="宋体"/>
                <w:sz w:val="24"/>
                <w:szCs w:val="24"/>
              </w:rPr>
            </w:pPr>
            <w:r>
              <w:rPr>
                <w:rFonts w:ascii="宋体" w:hAnsi="宋体" w:eastAsia="宋体"/>
                <w:sz w:val="24"/>
                <w:szCs w:val="24"/>
              </w:rPr>
              <w:t>1、应支持为云服务器、云容器、云数据库等云上资源构建隔离、私密的虚拟网络环境。VPC丰富的功能应支持灵活管理云上网络，包括创建子网、设置安全组和网络ACL、管理路由表、申请弹性公网IP和带宽等。通过链路冗余，分布式网关集群，多AZ部署等多种技术，保障网络的安全、稳定、高可用。</w:t>
            </w:r>
          </w:p>
          <w:p>
            <w:pPr>
              <w:spacing w:line="360" w:lineRule="auto"/>
              <w:rPr>
                <w:rFonts w:ascii="宋体" w:hAnsi="宋体" w:eastAsia="宋体"/>
                <w:sz w:val="24"/>
                <w:szCs w:val="24"/>
              </w:rPr>
            </w:pPr>
            <w:r>
              <w:rPr>
                <w:rFonts w:ascii="宋体" w:hAnsi="宋体" w:eastAsia="宋体"/>
                <w:sz w:val="24"/>
                <w:szCs w:val="24"/>
              </w:rPr>
              <w:t>2、安全组：安全组是一个逻辑上的分组，应支持为具有相同安全保护需求并相互信任的云服务器、云容器、云数据库等实例提供访问策略。安全组创建后，应支持在安全组中定义各种访问规则，当实例加入该安全组后，即受到这些访问规则的保护。</w:t>
            </w:r>
          </w:p>
          <w:p>
            <w:pPr>
              <w:spacing w:line="360" w:lineRule="auto"/>
              <w:rPr>
                <w:rFonts w:ascii="宋体" w:hAnsi="宋体" w:eastAsia="宋体"/>
                <w:sz w:val="24"/>
                <w:szCs w:val="24"/>
              </w:rPr>
            </w:pPr>
            <w:r>
              <w:rPr>
                <w:rFonts w:ascii="宋体" w:hAnsi="宋体" w:eastAsia="宋体"/>
                <w:sz w:val="24"/>
                <w:szCs w:val="24"/>
              </w:rPr>
              <w:t>3、Web应用防火墙（WAF），应支持对网站业务流量进行全方位检测和防护；HTTP(S)请求进行检测，识别并阻断SQL注入、跨站脚本攻击、网页木马上传、命令/代码注入、文件包含、敏感文件访问、第三方应用漏洞攻击、CC攻击、恶意爬虫扫描、跨站请求伪造等攻击，保护Web服务安全稳定；提供精准高效的威胁检测、针对业界爆发的高危web漏洞，应提供快速分析漏洞、向引擎下发漏洞防御规则的支持，保障0day漏洞及时在waf打上虚拟补丁，用户无感知；应支持通过Web应用防火墙服务配置地理位置访问控制规则。可针对指定国家</w:t>
            </w:r>
            <w:r>
              <w:rPr>
                <w:rFonts w:hint="eastAsia" w:ascii="宋体" w:hAnsi="宋体" w:eastAsia="宋体"/>
                <w:sz w:val="24"/>
                <w:szCs w:val="24"/>
              </w:rPr>
              <w:t>、省份的来源</w:t>
            </w:r>
            <w:r>
              <w:rPr>
                <w:rFonts w:ascii="宋体" w:hAnsi="宋体" w:eastAsia="宋体"/>
                <w:sz w:val="24"/>
                <w:szCs w:val="24"/>
              </w:rPr>
              <w:t>IP自定义访问控制；提供简洁友好的控制界面，实时查看攻击信息和事件日志。</w:t>
            </w:r>
          </w:p>
          <w:p>
            <w:pPr>
              <w:spacing w:line="360" w:lineRule="auto"/>
              <w:rPr>
                <w:rFonts w:ascii="宋体" w:hAnsi="宋体" w:eastAsia="宋体"/>
                <w:sz w:val="24"/>
                <w:szCs w:val="24"/>
              </w:rPr>
            </w:pPr>
            <w:r>
              <w:rPr>
                <w:rFonts w:ascii="宋体" w:hAnsi="宋体" w:eastAsia="宋体"/>
                <w:sz w:val="24"/>
                <w:szCs w:val="24"/>
              </w:rPr>
              <w:t>4、DDoS高防，以应对DDoS攻击挑战，应支持提供毫秒级攻击响应、多维度行为分析及机器学习、防御策略自动调优、精确识别各种复杂DDoS攻击，以保护业务连续性。抵御大流量DDoS攻击，避免服务器被攻击后导致业务瘫痪。</w:t>
            </w:r>
          </w:p>
          <w:p>
            <w:pPr>
              <w:spacing w:line="360" w:lineRule="auto"/>
              <w:rPr>
                <w:rFonts w:ascii="宋体" w:hAnsi="宋体" w:eastAsia="宋体"/>
                <w:sz w:val="24"/>
                <w:szCs w:val="24"/>
              </w:rPr>
            </w:pPr>
            <w:r>
              <w:rPr>
                <w:rFonts w:ascii="宋体" w:hAnsi="宋体" w:eastAsia="宋体"/>
                <w:sz w:val="24"/>
                <w:szCs w:val="24"/>
              </w:rPr>
              <w:t>5、企业主机安全，应提升主机整体安全性的服务，提供资产管理、漏洞管理支持检测系统和软件漏洞、Web-CMS漏洞，识别潜在风险。入侵检测、基线检查等功能，降低主机安全风险；检测系统中的口令复杂度策略，给出修改建议，帮助用户提升口令安全性；对运行中的程序进行检测，识别出其中的后门、木马、蠕虫和病毒等恶意程序，帮助用户识别出系统存在的安全风险。</w:t>
            </w:r>
          </w:p>
          <w:p>
            <w:pPr>
              <w:spacing w:line="360" w:lineRule="auto"/>
              <w:rPr>
                <w:rFonts w:ascii="宋体" w:hAnsi="宋体" w:eastAsia="宋体"/>
                <w:sz w:val="24"/>
                <w:szCs w:val="24"/>
              </w:rPr>
            </w:pPr>
            <w:r>
              <w:rPr>
                <w:rFonts w:ascii="宋体" w:hAnsi="宋体" w:eastAsia="宋体"/>
                <w:sz w:val="24"/>
                <w:szCs w:val="24"/>
              </w:rPr>
              <w:t>6、云堡垒机，应支持对云上服务器的操作运维审计；提供云计算安全管控的系统和组件，包含部门、用户、资源、策略、运维、审计等功能模块，集单点登录、统一资产管理、多终端访问协议、文件传输、会话协同等功能于一体。通过统一运维登录入口，基于协议正向代理技术和远程访问隔离技术，实现对服务器、云主机、数据库、应用系统等云上资源的集中管理和运维审计；提供可视化运维行为监控，及时预警发现违规操作；实时记录管理员的资源管理、用户管理和策略管理等所有行为日志，以便监控和审计。</w:t>
            </w:r>
          </w:p>
          <w:p>
            <w:pPr>
              <w:spacing w:line="360" w:lineRule="auto"/>
              <w:rPr>
                <w:rFonts w:ascii="宋体" w:hAnsi="宋体" w:eastAsia="宋体"/>
                <w:sz w:val="24"/>
                <w:szCs w:val="24"/>
              </w:rPr>
            </w:pPr>
            <w:r>
              <w:rPr>
                <w:rFonts w:ascii="宋体" w:hAnsi="宋体" w:eastAsia="宋体"/>
                <w:sz w:val="24"/>
                <w:szCs w:val="24"/>
              </w:rPr>
              <w:t>7、数据库安全服务，审计数据库操作行为；基于机器学习机制和大数据分析技术，应提供数据库审计，SQL注入攻击检测，风险操作识别等功能；应提供旁路模式数据库审计功能，对风险行为进行实时告警。应支持对数据库的内部违规和不正当操作进行定位追责，保障数据资产安全。</w:t>
            </w:r>
          </w:p>
          <w:p>
            <w:pPr>
              <w:spacing w:line="360" w:lineRule="auto"/>
              <w:rPr>
                <w:rFonts w:ascii="宋体" w:hAnsi="宋体" w:eastAsia="宋体"/>
                <w:sz w:val="24"/>
                <w:szCs w:val="24"/>
              </w:rPr>
            </w:pPr>
            <w:r>
              <w:rPr>
                <w:rFonts w:ascii="宋体" w:hAnsi="宋体" w:eastAsia="宋体"/>
                <w:sz w:val="24"/>
                <w:szCs w:val="24"/>
              </w:rPr>
              <w:t>8、安全态势感知，应支持统一的威胁检测和风险处置平台；应支持检测出8大类的云上安全风险，包括DDoS攻击、暴力破解、Web攻击、后门木马、僵尸主机、异常行为、漏洞攻击、命令与控制等。利用大数据分析技术，态势感知可以对攻击事件、威胁告警和攻击源头进行分类统计和综合分析，呈现全局安全攻击态势。</w:t>
            </w:r>
          </w:p>
          <w:p>
            <w:pPr>
              <w:spacing w:line="360" w:lineRule="auto"/>
              <w:rPr>
                <w:rFonts w:ascii="宋体" w:hAnsi="宋体" w:eastAsia="宋体"/>
                <w:sz w:val="24"/>
                <w:szCs w:val="24"/>
              </w:rPr>
            </w:pPr>
            <w:r>
              <w:rPr>
                <w:rFonts w:ascii="宋体" w:hAnsi="宋体" w:eastAsia="宋体"/>
                <w:sz w:val="24"/>
                <w:szCs w:val="24"/>
              </w:rPr>
              <w:t>9、云审计，应支持对各种云资源操作记录的收集、存储和查询功能，可用于支撑安全分析、合规审计、资源跟踪和问题定位等，记录审计日志、审计日志查询、审计日志转储、事件文件加密。</w:t>
            </w:r>
          </w:p>
          <w:p>
            <w:pPr>
              <w:spacing w:line="360" w:lineRule="auto"/>
              <w:rPr>
                <w:rFonts w:ascii="宋体" w:hAnsi="宋体" w:eastAsia="宋体"/>
                <w:sz w:val="24"/>
                <w:szCs w:val="24"/>
              </w:rPr>
            </w:pPr>
            <w:r>
              <w:rPr>
                <w:rFonts w:ascii="宋体" w:hAnsi="宋体" w:eastAsia="宋体"/>
                <w:sz w:val="24"/>
                <w:szCs w:val="24"/>
              </w:rPr>
              <w:t>10、云监控，应支持一个针对弹性云服务器、带宽等资源的立体化监控平台。资源使用情况、业务的运行状况，并及时收到异常告警做出反应，保证业务顺畅运行。</w:t>
            </w:r>
          </w:p>
          <w:p>
            <w:pPr>
              <w:spacing w:line="360" w:lineRule="auto"/>
              <w:rPr>
                <w:rFonts w:ascii="宋体" w:hAnsi="宋体" w:eastAsia="宋体"/>
                <w:sz w:val="24"/>
                <w:szCs w:val="24"/>
              </w:rPr>
            </w:pPr>
            <w:r>
              <w:rPr>
                <w:rFonts w:ascii="宋体" w:hAnsi="宋体" w:eastAsia="宋体"/>
                <w:sz w:val="24"/>
                <w:szCs w:val="24"/>
              </w:rPr>
              <w:t>11、云日志，应支持日志收集、实时查询、存储等功能，通过海量日志数据的分析与处理，可以将云服务和应用程序的可用性和性能最大化，提供实时、高效、安全的日志处理能力，快速高效地进行实时决策分析、设备运维管理、用户业务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line="360" w:lineRule="auto"/>
              <w:jc w:val="center"/>
              <w:rPr>
                <w:rFonts w:ascii="宋体" w:hAnsi="宋体" w:eastAsia="宋体"/>
                <w:sz w:val="24"/>
                <w:szCs w:val="24"/>
              </w:rPr>
            </w:pPr>
          </w:p>
        </w:tc>
        <w:tc>
          <w:tcPr>
            <w:tcW w:w="992" w:type="dxa"/>
            <w:vMerge w:val="continue"/>
            <w:vAlign w:val="center"/>
          </w:tcPr>
          <w:p>
            <w:pPr>
              <w:spacing w:line="360" w:lineRule="auto"/>
              <w:jc w:val="center"/>
              <w:rPr>
                <w:rFonts w:ascii="宋体" w:hAnsi="宋体" w:eastAsia="宋体"/>
                <w:sz w:val="24"/>
                <w:szCs w:val="24"/>
              </w:rPr>
            </w:pP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云平台日常运维服务</w:t>
            </w:r>
          </w:p>
        </w:tc>
        <w:tc>
          <w:tcPr>
            <w:tcW w:w="5386" w:type="dxa"/>
            <w:vAlign w:val="center"/>
          </w:tcPr>
          <w:p>
            <w:pPr>
              <w:spacing w:line="360" w:lineRule="auto"/>
              <w:rPr>
                <w:rFonts w:ascii="宋体" w:hAnsi="宋体" w:eastAsia="宋体"/>
                <w:sz w:val="24"/>
                <w:szCs w:val="24"/>
              </w:rPr>
            </w:pPr>
            <w:r>
              <w:rPr>
                <w:rFonts w:ascii="宋体" w:hAnsi="宋体" w:eastAsia="宋体"/>
                <w:sz w:val="24"/>
                <w:szCs w:val="24"/>
              </w:rPr>
              <w:t>1、专门的运维团队，应支持全时段运维服务，制定科学的管理制度、服务流程、质量管控策略等，形成稳定高效的服务管控体系，做到管理规范、流程合理、职责明确、服务高效。</w:t>
            </w:r>
          </w:p>
          <w:p>
            <w:pPr>
              <w:spacing w:line="360" w:lineRule="auto"/>
              <w:rPr>
                <w:rFonts w:ascii="宋体" w:hAnsi="宋体" w:eastAsia="宋体"/>
                <w:sz w:val="24"/>
                <w:szCs w:val="24"/>
              </w:rPr>
            </w:pPr>
            <w:r>
              <w:rPr>
                <w:rFonts w:ascii="宋体" w:hAnsi="宋体" w:eastAsia="宋体"/>
                <w:sz w:val="24"/>
                <w:szCs w:val="24"/>
              </w:rPr>
              <w:t>2、监控服务：云平台基础资源的实时监控与告警，应包括云主机计算资源、内存资源、存储资源等维度的实时监控与分析，对日常业务运行提供业务异常监控，对日常网络带宽提供预警监控，对以上所有监控维度的实时监控与实时告警能力支撑。</w:t>
            </w:r>
          </w:p>
          <w:p>
            <w:pPr>
              <w:spacing w:line="360" w:lineRule="auto"/>
              <w:rPr>
                <w:rFonts w:ascii="宋体" w:hAnsi="宋体" w:eastAsia="宋体"/>
                <w:sz w:val="24"/>
                <w:szCs w:val="24"/>
              </w:rPr>
            </w:pPr>
            <w:r>
              <w:rPr>
                <w:rFonts w:ascii="宋体" w:hAnsi="宋体" w:eastAsia="宋体"/>
                <w:sz w:val="24"/>
                <w:szCs w:val="24"/>
              </w:rPr>
              <w:t>3、云平台故障处理服务：应支持根据业务运行需要，对云平台各组件、各项参数进行针对性的调优，如调整资源虚拟化比例、虚拟CPU类型与型号、服务线程数量，对业务运行过程中的故障进行分析监测，故障解决，提供7x24的检测与处理能力。</w:t>
            </w:r>
          </w:p>
          <w:p>
            <w:pPr>
              <w:spacing w:line="360" w:lineRule="auto"/>
              <w:rPr>
                <w:rFonts w:ascii="宋体" w:hAnsi="宋体" w:eastAsia="宋体"/>
                <w:sz w:val="24"/>
                <w:szCs w:val="24"/>
              </w:rPr>
            </w:pPr>
            <w:r>
              <w:rPr>
                <w:rFonts w:ascii="宋体" w:hAnsi="宋体" w:eastAsia="宋体"/>
                <w:sz w:val="24"/>
                <w:szCs w:val="24"/>
              </w:rPr>
              <w:t>4、云平台容量规划与调整服务。应支持对业务需求统计分析，对云平台进行容量规划，包括计算能力、存储容量、网络IP地址空间等；实施网络隔离，保障网络安全。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992"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其他服务要求</w:t>
            </w: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服务计划</w:t>
            </w:r>
          </w:p>
        </w:tc>
        <w:tc>
          <w:tcPr>
            <w:tcW w:w="5386" w:type="dxa"/>
            <w:vAlign w:val="center"/>
          </w:tcPr>
          <w:p>
            <w:pPr>
              <w:spacing w:line="360" w:lineRule="auto"/>
              <w:rPr>
                <w:rFonts w:ascii="宋体" w:hAnsi="宋体" w:eastAsia="宋体"/>
                <w:sz w:val="24"/>
                <w:szCs w:val="24"/>
              </w:rPr>
            </w:pPr>
            <w:r>
              <w:rPr>
                <w:rFonts w:hint="eastAsia" w:ascii="宋体" w:hAnsi="宋体" w:eastAsia="宋体" w:cs="Times New Roman"/>
                <w:sz w:val="24"/>
                <w:szCs w:val="24"/>
                <w14:ligatures w14:val="none"/>
              </w:rPr>
              <w:t>投标供应商应结合医院实际情况，拟定详细云运维服务计划，确保运维工作顺利开展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line="360" w:lineRule="auto"/>
              <w:jc w:val="center"/>
              <w:rPr>
                <w:rFonts w:ascii="宋体" w:hAnsi="宋体" w:eastAsia="宋体"/>
                <w:sz w:val="24"/>
                <w:szCs w:val="24"/>
              </w:rPr>
            </w:pPr>
          </w:p>
        </w:tc>
        <w:tc>
          <w:tcPr>
            <w:tcW w:w="992" w:type="dxa"/>
            <w:vMerge w:val="continue"/>
            <w:vAlign w:val="center"/>
          </w:tcPr>
          <w:p>
            <w:pPr>
              <w:spacing w:line="360" w:lineRule="auto"/>
              <w:jc w:val="center"/>
              <w:rPr>
                <w:rFonts w:ascii="宋体" w:hAnsi="宋体" w:eastAsia="宋体"/>
                <w:sz w:val="24"/>
                <w:szCs w:val="24"/>
              </w:rPr>
            </w:pP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服务方案</w:t>
            </w:r>
          </w:p>
        </w:tc>
        <w:tc>
          <w:tcPr>
            <w:tcW w:w="5386" w:type="dxa"/>
            <w:vAlign w:val="center"/>
          </w:tcPr>
          <w:p>
            <w:pPr>
              <w:spacing w:line="360" w:lineRule="auto"/>
              <w:rPr>
                <w:rFonts w:ascii="宋体" w:hAnsi="宋体" w:eastAsia="宋体"/>
                <w:sz w:val="24"/>
                <w:szCs w:val="24"/>
              </w:rPr>
            </w:pPr>
            <w:r>
              <w:rPr>
                <w:rFonts w:hint="eastAsia" w:ascii="宋体" w:hAnsi="宋体" w:eastAsia="宋体" w:cs="Times New Roman"/>
                <w:sz w:val="24"/>
                <w:szCs w:val="24"/>
                <w14:ligatures w14:val="none"/>
              </w:rPr>
              <w:t>中标人需提供</w:t>
            </w:r>
            <w:r>
              <w:rPr>
                <w:rFonts w:ascii="宋体" w:hAnsi="宋体" w:eastAsia="宋体" w:cs="Times New Roman"/>
                <w:sz w:val="24"/>
                <w:szCs w:val="24"/>
                <w14:ligatures w14:val="none"/>
              </w:rPr>
              <w:t>7*24</w:t>
            </w:r>
            <w:r>
              <w:rPr>
                <w:rFonts w:hint="eastAsia" w:ascii="宋体" w:hAnsi="宋体" w:eastAsia="宋体" w:cs="Times New Roman"/>
                <w:sz w:val="24"/>
                <w:szCs w:val="24"/>
                <w14:ligatures w14:val="none"/>
              </w:rPr>
              <w:t>小时技术支持服务</w:t>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包括提供远程支援、电话咨询和现场技术处理等服务</w:t>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同时投标人需提供完善的售后服务方案、运维方案及项目应急预案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line="360" w:lineRule="auto"/>
              <w:jc w:val="center"/>
              <w:rPr>
                <w:rFonts w:ascii="宋体" w:hAnsi="宋体" w:eastAsia="宋体"/>
                <w:sz w:val="24"/>
                <w:szCs w:val="24"/>
              </w:rPr>
            </w:pPr>
          </w:p>
        </w:tc>
        <w:tc>
          <w:tcPr>
            <w:tcW w:w="992" w:type="dxa"/>
            <w:vMerge w:val="continue"/>
            <w:vAlign w:val="center"/>
          </w:tcPr>
          <w:p>
            <w:pPr>
              <w:spacing w:line="360" w:lineRule="auto"/>
              <w:jc w:val="center"/>
              <w:rPr>
                <w:rFonts w:ascii="宋体" w:hAnsi="宋体" w:eastAsia="宋体"/>
                <w:sz w:val="24"/>
                <w:szCs w:val="24"/>
              </w:rPr>
            </w:pPr>
          </w:p>
        </w:tc>
        <w:tc>
          <w:tcPr>
            <w:tcW w:w="170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综合技术能力</w:t>
            </w:r>
          </w:p>
        </w:tc>
        <w:tc>
          <w:tcPr>
            <w:tcW w:w="5386" w:type="dxa"/>
            <w:vAlign w:val="center"/>
          </w:tcPr>
          <w:p>
            <w:pPr>
              <w:spacing w:line="360" w:lineRule="auto"/>
              <w:rPr>
                <w:rFonts w:hint="eastAsia" w:ascii="宋体" w:hAnsi="宋体" w:eastAsia="宋体"/>
                <w:sz w:val="24"/>
                <w:szCs w:val="24"/>
              </w:rPr>
            </w:pPr>
            <w:r>
              <w:rPr>
                <w:rFonts w:hint="eastAsia" w:ascii="宋体" w:hAnsi="宋体" w:eastAsia="宋体"/>
                <w:sz w:val="24"/>
                <w:szCs w:val="24"/>
              </w:rPr>
              <w:t>投标人应具备一定的综合技术能力，应具备丰富的项目经验和专业知识；应配备专业的项目服务团队，确保项目顺利进行；应具备良好的数据管理能力，保障云上数据安全；应具备良好的应急处理、安全运维能力，保障系统安全；应能够提供高效、可靠、安全的信息技术服务，保护采购人的隐私和数据安全，保障云端业务体系顺利运行</w:t>
            </w:r>
          </w:p>
        </w:tc>
      </w:tr>
    </w:tbl>
    <w:p>
      <w:pPr>
        <w:spacing w:line="360" w:lineRule="auto"/>
        <w:rPr>
          <w:rFonts w:ascii="宋体" w:hAnsi="宋体" w:eastAsia="宋体"/>
          <w:b/>
          <w:bCs/>
          <w:sz w:val="24"/>
          <w:szCs w:val="24"/>
        </w:rPr>
      </w:pPr>
    </w:p>
    <w:p>
      <w:pPr>
        <w:pStyle w:val="2"/>
        <w:jc w:val="center"/>
        <w:rPr>
          <w:sz w:val="36"/>
          <w:szCs w:val="36"/>
        </w:rPr>
      </w:pPr>
      <w:r>
        <w:rPr>
          <w:rFonts w:hint="eastAsia"/>
          <w:sz w:val="36"/>
          <w:szCs w:val="36"/>
        </w:rPr>
        <w:t>评分标准</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spacing w:line="360" w:lineRule="auto"/>
              <w:jc w:val="center"/>
              <w:rPr>
                <w:rFonts w:ascii="宋体" w:hAnsi="宋体" w:eastAsia="宋体" w:cs="Times New Roman"/>
                <w:sz w:val="24"/>
                <w:szCs w:val="24"/>
                <w14:ligatures w14:val="none"/>
              </w:rPr>
            </w:pPr>
            <w:bookmarkStart w:id="1" w:name="_Hlk137028281"/>
            <w:r>
              <w:rPr>
                <w:rFonts w:hint="eastAsia" w:ascii="宋体" w:hAnsi="宋体" w:eastAsia="宋体" w:cs="Times New Roman"/>
                <w:color w:val="0D0D0D"/>
                <w:sz w:val="24"/>
                <w:szCs w:val="24"/>
                <w14:ligatures w14:val="none"/>
              </w:rPr>
              <w:t>分项</w:t>
            </w:r>
          </w:p>
        </w:tc>
        <w:tc>
          <w:tcPr>
            <w:tcW w:w="851"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color w:val="0D0D0D"/>
                <w:sz w:val="24"/>
                <w:szCs w:val="24"/>
                <w14:ligatures w14:val="none"/>
              </w:rPr>
              <w:t>评分因素</w:t>
            </w:r>
          </w:p>
        </w:tc>
        <w:tc>
          <w:tcPr>
            <w:tcW w:w="709"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color w:val="0D0D0D"/>
                <w:sz w:val="24"/>
                <w:szCs w:val="24"/>
                <w14:ligatures w14:val="none"/>
              </w:rPr>
              <w:t>分值</w:t>
            </w:r>
          </w:p>
        </w:tc>
        <w:tc>
          <w:tcPr>
            <w:tcW w:w="6095"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color w:val="0D0D0D"/>
                <w:sz w:val="24"/>
                <w:szCs w:val="24"/>
                <w14:ligatures w14: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color w:val="0D0D0D"/>
                <w:sz w:val="24"/>
                <w:szCs w:val="24"/>
                <w14:ligatures w14:val="none"/>
              </w:rPr>
              <w:t>价格（</w:t>
            </w:r>
            <w:r>
              <w:rPr>
                <w:rFonts w:ascii="宋体" w:hAnsi="宋体" w:eastAsia="宋体" w:cs="Times New Roman"/>
                <w:color w:val="0D0D0D"/>
                <w:sz w:val="24"/>
                <w:szCs w:val="24"/>
                <w14:ligatures w14:val="none"/>
              </w:rPr>
              <w:t>10</w:t>
            </w:r>
            <w:r>
              <w:rPr>
                <w:rFonts w:hint="eastAsia" w:ascii="宋体" w:hAnsi="宋体" w:eastAsia="宋体" w:cs="Times New Roman"/>
                <w:color w:val="0D0D0D"/>
                <w:sz w:val="24"/>
                <w:szCs w:val="24"/>
                <w14:ligatures w14:val="none"/>
              </w:rPr>
              <w:t>分）</w:t>
            </w:r>
          </w:p>
        </w:tc>
        <w:tc>
          <w:tcPr>
            <w:tcW w:w="851"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kern w:val="0"/>
                <w:sz w:val="24"/>
                <w:szCs w:val="24"/>
                <w14:ligatures w14:val="none"/>
              </w:rPr>
              <w:t>投标报价</w:t>
            </w:r>
          </w:p>
        </w:tc>
        <w:tc>
          <w:tcPr>
            <w:tcW w:w="709" w:type="dxa"/>
            <w:vAlign w:val="center"/>
          </w:tcPr>
          <w:p>
            <w:pPr>
              <w:spacing w:line="360" w:lineRule="auto"/>
              <w:jc w:val="center"/>
              <w:rPr>
                <w:rFonts w:ascii="宋体" w:hAnsi="宋体" w:eastAsia="宋体" w:cs="Times New Roman"/>
                <w:sz w:val="24"/>
                <w:szCs w:val="24"/>
                <w14:ligatures w14:val="none"/>
              </w:rPr>
            </w:pPr>
            <w:r>
              <w:rPr>
                <w:rFonts w:ascii="宋体" w:hAnsi="宋体" w:eastAsia="宋体" w:cs="Times New Roman"/>
                <w:kern w:val="0"/>
                <w:sz w:val="24"/>
                <w:szCs w:val="24"/>
                <w14:ligatures w14:val="none"/>
              </w:rPr>
              <w:t>10</w:t>
            </w:r>
          </w:p>
        </w:tc>
        <w:tc>
          <w:tcPr>
            <w:tcW w:w="6095" w:type="dxa"/>
            <w:vAlign w:val="center"/>
          </w:tcPr>
          <w:p>
            <w:pPr>
              <w:spacing w:line="360" w:lineRule="auto"/>
              <w:rPr>
                <w:rFonts w:ascii="宋体" w:hAnsi="宋体" w:eastAsia="宋体" w:cs="宋体"/>
                <w:color w:val="000000"/>
                <w:sz w:val="24"/>
                <w:szCs w:val="24"/>
                <w14:ligatures w14:val="none"/>
              </w:rPr>
            </w:pPr>
            <w:r>
              <w:rPr>
                <w:rFonts w:hint="eastAsia" w:ascii="宋体" w:hAnsi="宋体" w:eastAsia="宋体" w:cs="宋体"/>
                <w:color w:val="000000"/>
                <w:sz w:val="24"/>
                <w:szCs w:val="24"/>
                <w14:ligatures w14:val="none"/>
              </w:rPr>
              <w:t>投标人报价得分＝（评标基准价</w:t>
            </w:r>
            <w:r>
              <w:rPr>
                <w:rFonts w:ascii="宋体" w:hAnsi="宋体" w:eastAsia="宋体" w:cs="宋体"/>
                <w:color w:val="000000"/>
                <w:sz w:val="24"/>
                <w:szCs w:val="24"/>
                <w14:ligatures w14:val="none"/>
              </w:rPr>
              <w:t>/</w:t>
            </w:r>
            <w:r>
              <w:rPr>
                <w:rFonts w:hint="eastAsia" w:ascii="宋体" w:hAnsi="宋体" w:eastAsia="宋体" w:cs="宋体"/>
                <w:color w:val="000000"/>
                <w:sz w:val="24"/>
                <w:szCs w:val="24"/>
                <w14:ligatures w14:val="none"/>
              </w:rPr>
              <w:t>投标报价）×</w:t>
            </w:r>
            <w:r>
              <w:rPr>
                <w:rFonts w:ascii="宋体" w:hAnsi="宋体" w:eastAsia="宋体" w:cs="宋体"/>
                <w:color w:val="000000"/>
                <w:sz w:val="24"/>
                <w:szCs w:val="24"/>
                <w14:ligatures w14:val="none"/>
              </w:rPr>
              <w:t>10</w:t>
            </w:r>
          </w:p>
          <w:p>
            <w:pPr>
              <w:spacing w:line="360" w:lineRule="auto"/>
              <w:rPr>
                <w:rFonts w:ascii="宋体" w:hAnsi="宋体" w:eastAsia="宋体" w:cs="宋体"/>
                <w:color w:val="000000"/>
                <w:sz w:val="24"/>
                <w:szCs w:val="24"/>
                <w14:ligatures w14:val="none"/>
              </w:rPr>
            </w:pPr>
            <w:r>
              <w:rPr>
                <w:rFonts w:hint="eastAsia" w:ascii="宋体" w:hAnsi="宋体" w:eastAsia="宋体" w:cs="宋体"/>
                <w:color w:val="000000"/>
                <w:sz w:val="24"/>
                <w:szCs w:val="24"/>
                <w14:ligatures w14:val="none"/>
              </w:rPr>
              <w:t>注解：</w:t>
            </w:r>
          </w:p>
          <w:p>
            <w:pPr>
              <w:spacing w:line="360" w:lineRule="auto"/>
              <w:rPr>
                <w:rFonts w:ascii="宋体" w:hAnsi="宋体" w:eastAsia="宋体" w:cs="宋体"/>
                <w:color w:val="000000"/>
                <w:sz w:val="24"/>
                <w:szCs w:val="24"/>
                <w14:ligatures w14:val="none"/>
              </w:rPr>
            </w:pPr>
            <w:r>
              <w:rPr>
                <w:rFonts w:hint="eastAsia" w:ascii="宋体" w:hAnsi="宋体" w:eastAsia="宋体" w:cs="宋体"/>
                <w:color w:val="000000"/>
                <w:sz w:val="24"/>
                <w:szCs w:val="24"/>
                <w14:ligatures w14:val="none"/>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商务部分（</w:t>
            </w:r>
            <w:r>
              <w:rPr>
                <w:rFonts w:ascii="宋体" w:hAnsi="宋体" w:eastAsia="宋体" w:cs="Times New Roman"/>
                <w:sz w:val="24"/>
                <w:szCs w:val="24"/>
                <w14:ligatures w14:val="none"/>
              </w:rPr>
              <w:t>20</w:t>
            </w:r>
            <w:r>
              <w:rPr>
                <w:rFonts w:hint="eastAsia" w:ascii="宋体" w:hAnsi="宋体" w:eastAsia="宋体" w:cs="Times New Roman"/>
                <w:sz w:val="24"/>
                <w:szCs w:val="24"/>
                <w14:ligatures w14:val="none"/>
              </w:rPr>
              <w:t>分）</w:t>
            </w:r>
          </w:p>
        </w:tc>
        <w:tc>
          <w:tcPr>
            <w:tcW w:w="851"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项目经验</w:t>
            </w:r>
          </w:p>
        </w:tc>
        <w:tc>
          <w:tcPr>
            <w:tcW w:w="709"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color w:val="0D0D0D"/>
                <w:sz w:val="24"/>
                <w:szCs w:val="24"/>
                <w14:ligatures w14:val="none"/>
              </w:rPr>
              <w:t>4</w:t>
            </w:r>
          </w:p>
        </w:tc>
        <w:tc>
          <w:tcPr>
            <w:tcW w:w="6095" w:type="dxa"/>
            <w:vAlign w:val="center"/>
          </w:tcPr>
          <w:p>
            <w:pPr>
              <w:spacing w:line="360" w:lineRule="auto"/>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提供投标人自</w:t>
            </w:r>
            <w:r>
              <w:rPr>
                <w:rFonts w:ascii="宋体" w:hAnsi="宋体" w:eastAsia="宋体" w:cs="Times New Roman"/>
                <w:kern w:val="0"/>
                <w:sz w:val="24"/>
                <w:szCs w:val="24"/>
                <w14:ligatures w14:val="none"/>
              </w:rPr>
              <w:t>2021</w:t>
            </w:r>
            <w:r>
              <w:rPr>
                <w:rFonts w:hint="eastAsia" w:ascii="宋体" w:hAnsi="宋体" w:eastAsia="宋体" w:cs="Times New Roman"/>
                <w:kern w:val="0"/>
                <w:sz w:val="24"/>
                <w:szCs w:val="24"/>
                <w14:ligatures w14:val="none"/>
              </w:rPr>
              <w:t>年</w:t>
            </w:r>
            <w:r>
              <w:rPr>
                <w:rFonts w:ascii="宋体" w:hAnsi="宋体" w:eastAsia="宋体" w:cs="Times New Roman"/>
                <w:kern w:val="0"/>
                <w:sz w:val="24"/>
                <w:szCs w:val="24"/>
                <w14:ligatures w14:val="none"/>
              </w:rPr>
              <w:t>1</w:t>
            </w:r>
            <w:r>
              <w:rPr>
                <w:rFonts w:hint="eastAsia" w:ascii="宋体" w:hAnsi="宋体" w:eastAsia="宋体" w:cs="Times New Roman"/>
                <w:kern w:val="0"/>
                <w:sz w:val="24"/>
                <w:szCs w:val="24"/>
                <w14:ligatures w14:val="none"/>
              </w:rPr>
              <w:t>月</w:t>
            </w:r>
            <w:r>
              <w:rPr>
                <w:rFonts w:ascii="宋体" w:hAnsi="宋体" w:eastAsia="宋体" w:cs="Times New Roman"/>
                <w:kern w:val="0"/>
                <w:sz w:val="24"/>
                <w:szCs w:val="24"/>
                <w14:ligatures w14:val="none"/>
              </w:rPr>
              <w:t>1</w:t>
            </w:r>
            <w:r>
              <w:rPr>
                <w:rFonts w:hint="eastAsia" w:ascii="宋体" w:hAnsi="宋体" w:eastAsia="宋体" w:cs="Times New Roman"/>
                <w:kern w:val="0"/>
                <w:sz w:val="24"/>
                <w:szCs w:val="24"/>
                <w14:ligatures w14:val="none"/>
              </w:rPr>
              <w:t>日至今签署的类似项目业绩，每提供一份合同的得2分，最高累计得4分，不提供不得分。</w:t>
            </w:r>
          </w:p>
          <w:p>
            <w:pPr>
              <w:spacing w:line="360" w:lineRule="auto"/>
              <w:rPr>
                <w:rFonts w:ascii="宋体" w:hAnsi="宋体" w:eastAsia="宋体" w:cs="Times New Roman"/>
                <w:b/>
                <w:bCs/>
                <w:sz w:val="24"/>
                <w:szCs w:val="24"/>
                <w14:ligatures w14:val="none"/>
              </w:rPr>
            </w:pPr>
            <w:r>
              <w:rPr>
                <w:rFonts w:hint="eastAsia" w:ascii="宋体" w:hAnsi="宋体" w:eastAsia="宋体" w:cs="宋体"/>
                <w:b/>
                <w:kern w:val="0"/>
                <w:sz w:val="24"/>
                <w:szCs w:val="24"/>
                <w14:ligatures w14:val="none"/>
              </w:rPr>
              <w:t>注：投标文件中提供采购合同原件扫描件并加盖公章。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pPr>
              <w:spacing w:line="360" w:lineRule="auto"/>
              <w:jc w:val="center"/>
              <w:rPr>
                <w:rFonts w:ascii="宋体" w:hAnsi="宋体" w:eastAsia="宋体" w:cs="Times New Roman"/>
                <w:sz w:val="24"/>
                <w:szCs w:val="24"/>
                <w14:ligatures w14:val="none"/>
              </w:rPr>
            </w:pPr>
          </w:p>
        </w:tc>
        <w:tc>
          <w:tcPr>
            <w:tcW w:w="851" w:type="dxa"/>
            <w:vAlign w:val="center"/>
          </w:tcPr>
          <w:p>
            <w:pPr>
              <w:spacing w:line="360" w:lineRule="auto"/>
              <w:jc w:val="center"/>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综合服务能力</w:t>
            </w:r>
          </w:p>
        </w:tc>
        <w:tc>
          <w:tcPr>
            <w:tcW w:w="709" w:type="dxa"/>
            <w:vAlign w:val="center"/>
          </w:tcPr>
          <w:p>
            <w:pPr>
              <w:spacing w:line="360" w:lineRule="auto"/>
              <w:jc w:val="center"/>
              <w:rPr>
                <w:rFonts w:ascii="宋体" w:hAnsi="宋体" w:eastAsia="宋体" w:cs="宋体"/>
                <w:color w:val="0D0D0D"/>
                <w:sz w:val="24"/>
                <w:szCs w:val="24"/>
                <w14:ligatures w14:val="none"/>
              </w:rPr>
            </w:pPr>
            <w:r>
              <w:rPr>
                <w:rFonts w:ascii="宋体" w:hAnsi="宋体" w:eastAsia="宋体" w:cs="宋体"/>
                <w:color w:val="0D0D0D"/>
                <w:sz w:val="24"/>
                <w:szCs w:val="24"/>
                <w14:ligatures w14:val="none"/>
              </w:rPr>
              <w:t>10</w:t>
            </w:r>
          </w:p>
        </w:tc>
        <w:tc>
          <w:tcPr>
            <w:tcW w:w="6095" w:type="dxa"/>
            <w:vAlign w:val="center"/>
          </w:tcPr>
          <w:p>
            <w:pPr>
              <w:spacing w:line="360" w:lineRule="auto"/>
              <w:rPr>
                <w:rFonts w:ascii="宋体" w:hAnsi="宋体" w:eastAsia="宋体" w:cs="Times New Roman"/>
                <w:kern w:val="0"/>
                <w:sz w:val="24"/>
                <w:szCs w:val="24"/>
                <w14:ligatures w14:val="none"/>
              </w:rPr>
            </w:pPr>
            <w:r>
              <w:rPr>
                <w:rFonts w:hint="eastAsia" w:ascii="宋体" w:hAnsi="宋体" w:eastAsia="宋体" w:cs="宋体"/>
                <w:sz w:val="24"/>
                <w:szCs w:val="24"/>
              </w:rPr>
              <w:t>1、</w:t>
            </w:r>
            <w:r>
              <w:rPr>
                <w:rFonts w:hint="eastAsia" w:ascii="宋体" w:hAnsi="宋体" w:eastAsia="宋体" w:cs="宋体"/>
                <w:sz w:val="24"/>
                <w:szCs w:val="24"/>
                <w14:ligatures w14:val="none"/>
              </w:rPr>
              <w:t>为保障云上数据安全，考察投标人数据管理能力，投标人具有数据管理能力成熟度</w:t>
            </w:r>
            <w:r>
              <w:rPr>
                <w:rFonts w:ascii="宋体" w:hAnsi="宋体" w:eastAsia="宋体" w:cs="宋体"/>
                <w:sz w:val="24"/>
                <w:szCs w:val="24"/>
                <w14:ligatures w14:val="none"/>
              </w:rPr>
              <w:t>3</w:t>
            </w:r>
            <w:r>
              <w:rPr>
                <w:rFonts w:hint="eastAsia" w:ascii="宋体" w:hAnsi="宋体" w:eastAsia="宋体" w:cs="宋体"/>
                <w:sz w:val="24"/>
                <w:szCs w:val="24"/>
                <w14:ligatures w14:val="none"/>
              </w:rPr>
              <w:t>级及以上证书的得</w:t>
            </w:r>
            <w:r>
              <w:rPr>
                <w:rFonts w:ascii="宋体" w:hAnsi="宋体" w:eastAsia="宋体" w:cs="宋体"/>
                <w:sz w:val="24"/>
                <w:szCs w:val="24"/>
                <w14:ligatures w14:val="none"/>
              </w:rPr>
              <w:t>3</w:t>
            </w:r>
            <w:r>
              <w:rPr>
                <w:rFonts w:hint="eastAsia" w:ascii="宋体" w:hAnsi="宋体" w:eastAsia="宋体" w:cs="宋体"/>
                <w:sz w:val="24"/>
                <w:szCs w:val="24"/>
                <w14:ligatures w14:val="none"/>
              </w:rPr>
              <w:t>分，</w:t>
            </w:r>
            <w:r>
              <w:rPr>
                <w:rFonts w:ascii="宋体" w:hAnsi="宋体" w:eastAsia="宋体" w:cs="宋体"/>
                <w:sz w:val="24"/>
                <w:szCs w:val="24"/>
                <w14:ligatures w14:val="none"/>
              </w:rPr>
              <w:t>2</w:t>
            </w:r>
            <w:r>
              <w:rPr>
                <w:rFonts w:hint="eastAsia" w:ascii="宋体" w:hAnsi="宋体" w:eastAsia="宋体" w:cs="宋体"/>
                <w:sz w:val="24"/>
                <w:szCs w:val="24"/>
                <w14:ligatures w14:val="none"/>
              </w:rPr>
              <w:t>级得</w:t>
            </w:r>
            <w:r>
              <w:rPr>
                <w:rFonts w:ascii="宋体" w:hAnsi="宋体" w:eastAsia="宋体" w:cs="宋体"/>
                <w:sz w:val="24"/>
                <w:szCs w:val="24"/>
                <w14:ligatures w14:val="none"/>
              </w:rPr>
              <w:t>2</w:t>
            </w:r>
            <w:r>
              <w:rPr>
                <w:rFonts w:hint="eastAsia" w:ascii="宋体" w:hAnsi="宋体" w:eastAsia="宋体" w:cs="宋体"/>
                <w:sz w:val="24"/>
                <w:szCs w:val="24"/>
                <w14:ligatures w14:val="none"/>
              </w:rPr>
              <w:t>分，</w:t>
            </w:r>
            <w:r>
              <w:rPr>
                <w:rFonts w:ascii="宋体" w:hAnsi="宋体" w:eastAsia="宋体" w:cs="宋体"/>
                <w:sz w:val="24"/>
                <w:szCs w:val="24"/>
                <w14:ligatures w14:val="none"/>
              </w:rPr>
              <w:t>1</w:t>
            </w:r>
            <w:r>
              <w:rPr>
                <w:rFonts w:hint="eastAsia" w:ascii="宋体" w:hAnsi="宋体" w:eastAsia="宋体" w:cs="宋体"/>
                <w:sz w:val="24"/>
                <w:szCs w:val="24"/>
                <w14:ligatures w14:val="none"/>
              </w:rPr>
              <w:t>级得</w:t>
            </w:r>
            <w:r>
              <w:rPr>
                <w:rFonts w:ascii="宋体" w:hAnsi="宋体" w:eastAsia="宋体" w:cs="宋体"/>
                <w:sz w:val="24"/>
                <w:szCs w:val="24"/>
                <w14:ligatures w14:val="none"/>
              </w:rPr>
              <w:t>1</w:t>
            </w:r>
            <w:r>
              <w:rPr>
                <w:rFonts w:hint="eastAsia" w:ascii="宋体" w:hAnsi="宋体" w:eastAsia="宋体" w:cs="宋体"/>
                <w:sz w:val="24"/>
                <w:szCs w:val="24"/>
                <w14:ligatures w14:val="none"/>
              </w:rPr>
              <w:t>分，不提供不得分。</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、为确保用户信息系统的安全运行，提高业务运行的稳定性和可靠性，投标人具有信息安全服务资质认证证书，认证范围包含：信息安全应急处理服务、信息系统安全运维服务，每提供1项得1分，最高得2分。</w:t>
            </w:r>
          </w:p>
          <w:p>
            <w:pPr>
              <w:spacing w:line="360" w:lineRule="auto"/>
              <w:rPr>
                <w:rFonts w:ascii="宋体" w:hAnsi="宋体" w:eastAsia="宋体" w:cs="Times New Roman"/>
                <w:kern w:val="0"/>
                <w:sz w:val="24"/>
                <w:szCs w:val="24"/>
                <w14:ligatures w14:val="none"/>
              </w:rPr>
            </w:pPr>
            <w:r>
              <w:rPr>
                <w:rFonts w:hint="eastAsia" w:ascii="宋体" w:hAnsi="宋体" w:eastAsia="宋体" w:cs="宋体"/>
                <w:sz w:val="24"/>
                <w:szCs w:val="24"/>
              </w:rPr>
              <w:t>3、为确保服务质量，提高运行维护的效率和安全性，</w:t>
            </w:r>
            <w:r>
              <w:rPr>
                <w:rFonts w:hint="eastAsia" w:ascii="宋体" w:hAnsi="宋体" w:eastAsia="宋体" w:cs="Times New Roman"/>
                <w:kern w:val="0"/>
                <w:sz w:val="24"/>
                <w:szCs w:val="24"/>
                <w14:ligatures w14:val="none"/>
              </w:rPr>
              <w:t>投标人具有信息技术服务管理体系认证证书、信息安全管理体系认证证书、公有云中个人可识别信息保护认证证书，每提供一项得</w:t>
            </w:r>
            <w:r>
              <w:rPr>
                <w:rFonts w:ascii="宋体" w:hAnsi="宋体" w:eastAsia="宋体" w:cs="Times New Roman"/>
                <w:kern w:val="0"/>
                <w:sz w:val="24"/>
                <w:szCs w:val="24"/>
                <w14:ligatures w14:val="none"/>
              </w:rPr>
              <w:t>1</w:t>
            </w:r>
            <w:r>
              <w:rPr>
                <w:rFonts w:hint="eastAsia" w:ascii="宋体" w:hAnsi="宋体" w:eastAsia="宋体" w:cs="Times New Roman"/>
                <w:kern w:val="0"/>
                <w:sz w:val="24"/>
                <w:szCs w:val="24"/>
                <w14:ligatures w14:val="none"/>
              </w:rPr>
              <w:t>分，最高</w:t>
            </w:r>
            <w:r>
              <w:rPr>
                <w:rFonts w:ascii="宋体" w:hAnsi="宋体" w:eastAsia="宋体" w:cs="Times New Roman"/>
                <w:kern w:val="0"/>
                <w:sz w:val="24"/>
                <w:szCs w:val="24"/>
                <w14:ligatures w14:val="none"/>
              </w:rPr>
              <w:t>3</w:t>
            </w:r>
            <w:r>
              <w:rPr>
                <w:rFonts w:hint="eastAsia" w:ascii="宋体" w:hAnsi="宋体" w:eastAsia="宋体" w:cs="Times New Roman"/>
                <w:kern w:val="0"/>
                <w:sz w:val="24"/>
                <w:szCs w:val="24"/>
                <w14:ligatures w14:val="none"/>
              </w:rPr>
              <w:t>分。</w:t>
            </w:r>
          </w:p>
          <w:p>
            <w:pPr>
              <w:spacing w:line="360" w:lineRule="auto"/>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4、为提高</w:t>
            </w:r>
            <w:r>
              <w:rPr>
                <w:rFonts w:ascii="宋体" w:hAnsi="宋体" w:eastAsia="宋体" w:cs="Times New Roman"/>
                <w:kern w:val="0"/>
                <w:sz w:val="24"/>
                <w:szCs w:val="24"/>
                <w14:ligatures w14:val="none"/>
              </w:rPr>
              <w:t>服务质量和技术水平，同时降低服务风险和成本</w:t>
            </w:r>
            <w:r>
              <w:rPr>
                <w:rFonts w:hint="eastAsia" w:ascii="宋体" w:hAnsi="宋体" w:eastAsia="宋体" w:cs="Times New Roman"/>
                <w:kern w:val="0"/>
                <w:sz w:val="24"/>
                <w:szCs w:val="24"/>
                <w14:ligatures w14:val="none"/>
              </w:rPr>
              <w:t>，投标人具有信息技术服务标准符合性证书，具有2级及以上的得2分，3级得1分，不提供不得分。</w:t>
            </w:r>
          </w:p>
          <w:p>
            <w:pPr>
              <w:spacing w:line="360" w:lineRule="auto"/>
              <w:rPr>
                <w:rFonts w:ascii="宋体" w:hAnsi="宋体" w:eastAsia="宋体" w:cs="宋体"/>
                <w:sz w:val="24"/>
                <w:szCs w:val="24"/>
              </w:rPr>
            </w:pPr>
            <w:r>
              <w:rPr>
                <w:rFonts w:hint="eastAsia" w:ascii="宋体" w:hAnsi="宋体" w:eastAsia="宋体" w:cs="宋体"/>
                <w:b/>
                <w:bCs/>
                <w:sz w:val="24"/>
                <w:szCs w:val="24"/>
              </w:rPr>
              <w:t>注：以上材料在投标文件中提供扫描件并加盖公章，否则不予计分。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pPr>
              <w:spacing w:line="360" w:lineRule="auto"/>
              <w:jc w:val="center"/>
              <w:rPr>
                <w:rFonts w:ascii="宋体" w:hAnsi="宋体" w:eastAsia="宋体" w:cs="Times New Roman"/>
                <w:sz w:val="24"/>
                <w:szCs w:val="24"/>
                <w14:ligatures w14:val="none"/>
              </w:rPr>
            </w:pPr>
          </w:p>
        </w:tc>
        <w:tc>
          <w:tcPr>
            <w:tcW w:w="851"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宋体"/>
                <w:sz w:val="24"/>
                <w:szCs w:val="24"/>
                <w14:ligatures w14:val="none"/>
              </w:rPr>
              <w:t>项目服务团队</w:t>
            </w:r>
          </w:p>
        </w:tc>
        <w:tc>
          <w:tcPr>
            <w:tcW w:w="709"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宋体"/>
                <w:sz w:val="24"/>
                <w:szCs w:val="24"/>
                <w14:ligatures w14:val="none"/>
              </w:rPr>
              <w:t>6</w:t>
            </w:r>
          </w:p>
        </w:tc>
        <w:tc>
          <w:tcPr>
            <w:tcW w:w="6095" w:type="dxa"/>
            <w:vAlign w:val="center"/>
          </w:tcPr>
          <w:p>
            <w:pPr>
              <w:spacing w:line="360" w:lineRule="auto"/>
              <w:rPr>
                <w:rFonts w:ascii="宋体" w:hAnsi="宋体" w:eastAsia="宋体" w:cs="宋体"/>
                <w:sz w:val="24"/>
                <w:szCs w:val="24"/>
                <w14:ligatures w14:val="none"/>
              </w:rPr>
            </w:pPr>
            <w:r>
              <w:rPr>
                <w:rFonts w:hint="eastAsia" w:ascii="宋体" w:hAnsi="宋体" w:eastAsia="宋体" w:cs="宋体"/>
                <w:sz w:val="24"/>
                <w:szCs w:val="24"/>
                <w14:ligatures w14:val="none"/>
              </w:rPr>
              <w:t>为保障项目实施质量，投标人应配置专业服务人员，并提供所配置专业技术人员的相关证明材料。</w:t>
            </w:r>
          </w:p>
          <w:p>
            <w:pPr>
              <w:spacing w:line="360" w:lineRule="auto"/>
              <w:rPr>
                <w:rFonts w:ascii="宋体" w:hAnsi="宋体" w:eastAsia="宋体" w:cs="宋体"/>
                <w:sz w:val="24"/>
                <w:szCs w:val="24"/>
                <w14:ligatures w14:val="none"/>
              </w:rPr>
            </w:pPr>
            <w:r>
              <w:rPr>
                <w:rFonts w:ascii="宋体" w:hAnsi="宋体" w:eastAsia="宋体" w:cs="宋体"/>
                <w:sz w:val="24"/>
                <w:szCs w:val="24"/>
                <w14:ligatures w14:val="none"/>
              </w:rPr>
              <w:t>1</w:t>
            </w:r>
            <w:r>
              <w:rPr>
                <w:rFonts w:hint="eastAsia" w:ascii="宋体" w:hAnsi="宋体" w:eastAsia="宋体" w:cs="宋体"/>
                <w:sz w:val="24"/>
                <w:szCs w:val="24"/>
                <w14:ligatures w14:val="none"/>
              </w:rPr>
              <w:t>、项目拟配备项目经理具有高级职称证书的得</w:t>
            </w:r>
            <w:r>
              <w:rPr>
                <w:rFonts w:ascii="宋体" w:hAnsi="宋体" w:eastAsia="宋体" w:cs="宋体"/>
                <w:sz w:val="24"/>
                <w:szCs w:val="24"/>
                <w14:ligatures w14:val="none"/>
              </w:rPr>
              <w:t>2</w:t>
            </w:r>
            <w:r>
              <w:rPr>
                <w:rFonts w:hint="eastAsia" w:ascii="宋体" w:hAnsi="宋体" w:eastAsia="宋体" w:cs="宋体"/>
                <w:sz w:val="24"/>
                <w:szCs w:val="24"/>
                <w14:ligatures w14:val="none"/>
              </w:rPr>
              <w:t>分。</w:t>
            </w:r>
          </w:p>
          <w:p>
            <w:pPr>
              <w:spacing w:line="360" w:lineRule="auto"/>
              <w:rPr>
                <w:rFonts w:ascii="宋体" w:hAnsi="宋体" w:eastAsia="宋体" w:cs="宋体"/>
                <w:sz w:val="24"/>
                <w:szCs w:val="24"/>
                <w14:ligatures w14:val="none"/>
              </w:rPr>
            </w:pPr>
            <w:r>
              <w:rPr>
                <w:rFonts w:ascii="宋体" w:hAnsi="宋体" w:eastAsia="宋体" w:cs="宋体"/>
                <w:sz w:val="24"/>
                <w:szCs w:val="24"/>
                <w14:ligatures w14:val="none"/>
              </w:rPr>
              <w:t>2</w:t>
            </w:r>
            <w:r>
              <w:rPr>
                <w:rFonts w:hint="eastAsia" w:ascii="宋体" w:hAnsi="宋体" w:eastAsia="宋体" w:cs="宋体"/>
                <w:sz w:val="24"/>
                <w:szCs w:val="24"/>
                <w14:ligatures w14:val="none"/>
              </w:rPr>
              <w:t>、项目拟配备的其他专业服务人员具备信息系统项目管理师证书、系统集成项目管理工程师证书、软件设计师证书、网络工程师证书、</w:t>
            </w:r>
            <w:r>
              <w:rPr>
                <w:rFonts w:hint="eastAsia" w:ascii="宋体" w:hAnsi="宋体" w:eastAsia="宋体" w:cs="宋体"/>
                <w:sz w:val="24"/>
                <w:szCs w:val="24"/>
              </w:rPr>
              <w:t>信息安全工程师</w:t>
            </w:r>
            <w:r>
              <w:rPr>
                <w:rFonts w:hint="eastAsia" w:ascii="宋体" w:hAnsi="宋体" w:eastAsia="宋体" w:cs="宋体"/>
                <w:sz w:val="24"/>
                <w:szCs w:val="24"/>
                <w14:ligatures w14:val="none"/>
              </w:rPr>
              <w:t>的，每配置一名具备上述证书的专业技术人员得</w:t>
            </w:r>
            <w:r>
              <w:rPr>
                <w:rFonts w:ascii="宋体" w:hAnsi="宋体" w:eastAsia="宋体" w:cs="宋体"/>
                <w:sz w:val="24"/>
                <w:szCs w:val="24"/>
                <w14:ligatures w14:val="none"/>
              </w:rPr>
              <w:t>1</w:t>
            </w:r>
            <w:r>
              <w:rPr>
                <w:rFonts w:hint="eastAsia" w:ascii="宋体" w:hAnsi="宋体" w:eastAsia="宋体" w:cs="宋体"/>
                <w:sz w:val="24"/>
                <w:szCs w:val="24"/>
                <w14:ligatures w14:val="none"/>
              </w:rPr>
              <w:t>分，多名技术人员具备同一类证书或同一技术人员具备不同类证书的均不重复计分，本项最多得4分。</w:t>
            </w:r>
          </w:p>
          <w:p>
            <w:pPr>
              <w:spacing w:line="360" w:lineRule="auto"/>
              <w:rPr>
                <w:rFonts w:ascii="宋体" w:hAnsi="宋体" w:eastAsia="宋体" w:cs="Times New Roman"/>
                <w:b/>
                <w:bCs/>
                <w:sz w:val="24"/>
                <w:szCs w:val="24"/>
                <w14:ligatures w14:val="none"/>
              </w:rPr>
            </w:pPr>
            <w:r>
              <w:rPr>
                <w:rFonts w:hint="eastAsia" w:ascii="宋体" w:hAnsi="宋体" w:eastAsia="宋体" w:cs="宋体"/>
                <w:b/>
                <w:bCs/>
                <w:sz w:val="24"/>
                <w:szCs w:val="24"/>
                <w14:ligatures w14:val="none"/>
              </w:rPr>
              <w:t>注：以上人员须在投标文件中提供其证书扫描件以及投标人近</w:t>
            </w:r>
            <w:r>
              <w:rPr>
                <w:rFonts w:ascii="宋体" w:hAnsi="宋体" w:eastAsia="宋体" w:cs="宋体"/>
                <w:b/>
                <w:bCs/>
                <w:sz w:val="24"/>
                <w:szCs w:val="24"/>
                <w14:ligatures w14:val="none"/>
              </w:rPr>
              <w:t>1</w:t>
            </w:r>
            <w:r>
              <w:rPr>
                <w:rFonts w:hint="eastAsia" w:ascii="宋体" w:hAnsi="宋体" w:eastAsia="宋体" w:cs="宋体"/>
                <w:b/>
                <w:bCs/>
                <w:sz w:val="24"/>
                <w:szCs w:val="24"/>
                <w14:ligatures w14:val="none"/>
              </w:rPr>
              <w:t>年内为其连续缴纳</w:t>
            </w:r>
            <w:r>
              <w:rPr>
                <w:rFonts w:ascii="宋体" w:hAnsi="宋体" w:eastAsia="宋体" w:cs="宋体"/>
                <w:b/>
                <w:bCs/>
                <w:sz w:val="24"/>
                <w:szCs w:val="24"/>
                <w14:ligatures w14:val="none"/>
              </w:rPr>
              <w:t>6</w:t>
            </w:r>
            <w:r>
              <w:rPr>
                <w:rFonts w:hint="eastAsia" w:ascii="宋体" w:hAnsi="宋体" w:eastAsia="宋体" w:cs="宋体"/>
                <w:b/>
                <w:bCs/>
                <w:sz w:val="24"/>
                <w:szCs w:val="24"/>
                <w14:ligatures w14:val="none"/>
              </w:rPr>
              <w:t>个月社保的证明材料扫描件等相关证明材料，否则不予计分。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技术部分（</w:t>
            </w:r>
            <w:r>
              <w:rPr>
                <w:rFonts w:ascii="宋体" w:hAnsi="宋体" w:eastAsia="宋体" w:cs="Times New Roman"/>
                <w:sz w:val="24"/>
                <w:szCs w:val="24"/>
                <w14:ligatures w14:val="none"/>
              </w:rPr>
              <w:t>70</w:t>
            </w:r>
            <w:r>
              <w:rPr>
                <w:rFonts w:hint="eastAsia" w:ascii="宋体" w:hAnsi="宋体" w:eastAsia="宋体" w:cs="Times New Roman"/>
                <w:sz w:val="24"/>
                <w:szCs w:val="24"/>
                <w14:ligatures w14:val="none"/>
              </w:rPr>
              <w:t>分）</w:t>
            </w:r>
          </w:p>
        </w:tc>
        <w:tc>
          <w:tcPr>
            <w:tcW w:w="851" w:type="dxa"/>
            <w:vAlign w:val="center"/>
          </w:tcPr>
          <w:p>
            <w:pPr>
              <w:spacing w:line="360" w:lineRule="auto"/>
              <w:jc w:val="center"/>
              <w:rPr>
                <w:rFonts w:ascii="宋体" w:hAnsi="宋体" w:eastAsia="宋体" w:cs="宋体"/>
                <w:sz w:val="24"/>
                <w:szCs w:val="24"/>
                <w14:ligatures w14:val="none"/>
              </w:rPr>
            </w:pPr>
            <w:r>
              <w:rPr>
                <w:rFonts w:hint="eastAsia" w:ascii="宋体" w:hAnsi="宋体" w:eastAsia="宋体" w:cs="宋体"/>
                <w:sz w:val="24"/>
                <w:szCs w:val="24"/>
                <w14:ligatures w14:val="none"/>
              </w:rPr>
              <w:t>响应情况</w:t>
            </w:r>
          </w:p>
        </w:tc>
        <w:tc>
          <w:tcPr>
            <w:tcW w:w="709" w:type="dxa"/>
            <w:vAlign w:val="center"/>
          </w:tcPr>
          <w:p>
            <w:pPr>
              <w:spacing w:line="360" w:lineRule="auto"/>
              <w:jc w:val="center"/>
              <w:rPr>
                <w:rFonts w:ascii="宋体" w:hAnsi="宋体" w:eastAsia="宋体" w:cs="宋体"/>
                <w:sz w:val="24"/>
                <w:szCs w:val="24"/>
                <w14:ligatures w14:val="none"/>
              </w:rPr>
            </w:pPr>
            <w:r>
              <w:rPr>
                <w:rFonts w:ascii="宋体" w:hAnsi="宋体" w:eastAsia="宋体" w:cs="Times New Roman"/>
                <w:color w:val="0D0D0D"/>
                <w:sz w:val="24"/>
                <w:szCs w:val="24"/>
                <w14:ligatures w14:val="none"/>
              </w:rPr>
              <w:t>25</w:t>
            </w:r>
          </w:p>
        </w:tc>
        <w:tc>
          <w:tcPr>
            <w:tcW w:w="6095" w:type="dxa"/>
            <w:vAlign w:val="center"/>
          </w:tcPr>
          <w:p>
            <w:pPr>
              <w:spacing w:line="360" w:lineRule="auto"/>
              <w:rPr>
                <w:rFonts w:ascii="宋体" w:hAnsi="宋体" w:eastAsia="宋体" w:cs="宋体"/>
                <w:sz w:val="24"/>
                <w:szCs w:val="24"/>
                <w14:ligatures w14:val="none"/>
              </w:rPr>
            </w:pPr>
            <w:r>
              <w:rPr>
                <w:rFonts w:hint="eastAsia" w:ascii="宋体" w:hAnsi="宋体" w:eastAsia="宋体" w:cs="宋体"/>
                <w:sz w:val="24"/>
                <w:szCs w:val="24"/>
                <w14:ligatures w14:val="none"/>
              </w:rPr>
              <w:t>根据投标人提供的云运维服务的响应情况进行评审，完全满足招标文件要求得</w:t>
            </w:r>
            <w:r>
              <w:rPr>
                <w:rFonts w:ascii="宋体" w:hAnsi="宋体" w:eastAsia="宋体" w:cs="宋体"/>
                <w:sz w:val="24"/>
                <w:szCs w:val="24"/>
                <w14:ligatures w14:val="none"/>
              </w:rPr>
              <w:t>25</w:t>
            </w:r>
            <w:r>
              <w:rPr>
                <w:rFonts w:hint="eastAsia" w:ascii="宋体" w:hAnsi="宋体" w:eastAsia="宋体" w:cs="宋体"/>
                <w:sz w:val="24"/>
                <w:szCs w:val="24"/>
                <w14:ligatures w14:val="none"/>
              </w:rPr>
              <w:t>分，每出现</w:t>
            </w:r>
            <w:r>
              <w:rPr>
                <w:rFonts w:ascii="宋体" w:hAnsi="宋体" w:eastAsia="宋体" w:cs="宋体"/>
                <w:sz w:val="24"/>
                <w:szCs w:val="24"/>
                <w14:ligatures w14:val="none"/>
              </w:rPr>
              <w:t>1</w:t>
            </w:r>
            <w:r>
              <w:rPr>
                <w:rFonts w:hint="eastAsia" w:ascii="宋体" w:hAnsi="宋体" w:eastAsia="宋体" w:cs="宋体"/>
                <w:sz w:val="24"/>
                <w:szCs w:val="24"/>
                <w14:ligatures w14:val="none"/>
              </w:rPr>
              <w:t>项负偏离扣</w:t>
            </w:r>
            <w:r>
              <w:rPr>
                <w:rFonts w:ascii="宋体" w:hAnsi="宋体" w:eastAsia="宋体" w:cs="宋体"/>
                <w:sz w:val="24"/>
                <w:szCs w:val="24"/>
                <w14:ligatures w14:val="none"/>
              </w:rPr>
              <w:t>2</w:t>
            </w:r>
            <w:r>
              <w:rPr>
                <w:rFonts w:hint="eastAsia" w:ascii="宋体" w:hAnsi="宋体" w:eastAsia="宋体" w:cs="宋体"/>
                <w:sz w:val="24"/>
                <w:szCs w:val="24"/>
                <w14:ligatures w14: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pPr>
              <w:spacing w:line="360" w:lineRule="auto"/>
              <w:jc w:val="center"/>
              <w:rPr>
                <w:rFonts w:ascii="宋体" w:hAnsi="宋体" w:eastAsia="宋体" w:cs="Times New Roman"/>
                <w:sz w:val="24"/>
                <w:szCs w:val="24"/>
                <w14:ligatures w14:val="none"/>
              </w:rPr>
            </w:pPr>
          </w:p>
        </w:tc>
        <w:tc>
          <w:tcPr>
            <w:tcW w:w="851" w:type="dxa"/>
            <w:vAlign w:val="center"/>
          </w:tcPr>
          <w:p>
            <w:pPr>
              <w:spacing w:line="360" w:lineRule="auto"/>
              <w:jc w:val="center"/>
              <w:rPr>
                <w:rFonts w:ascii="宋体" w:hAnsi="宋体" w:eastAsia="宋体" w:cs="宋体"/>
                <w:sz w:val="24"/>
                <w:szCs w:val="24"/>
                <w14:ligatures w14:val="none"/>
              </w:rPr>
            </w:pPr>
            <w:r>
              <w:rPr>
                <w:rFonts w:hint="eastAsia" w:ascii="宋体" w:hAnsi="宋体" w:eastAsia="宋体" w:cs="Times New Roman"/>
                <w:sz w:val="24"/>
                <w:szCs w:val="24"/>
                <w14:ligatures w14:val="none"/>
              </w:rPr>
              <w:t>运维方案</w:t>
            </w:r>
          </w:p>
        </w:tc>
        <w:tc>
          <w:tcPr>
            <w:tcW w:w="709" w:type="dxa"/>
            <w:vAlign w:val="center"/>
          </w:tcPr>
          <w:p>
            <w:pPr>
              <w:spacing w:line="360" w:lineRule="auto"/>
              <w:jc w:val="center"/>
              <w:rPr>
                <w:rFonts w:ascii="宋体" w:hAnsi="宋体" w:eastAsia="宋体" w:cs="Times New Roman"/>
                <w:color w:val="0D0D0D"/>
                <w:sz w:val="24"/>
                <w:szCs w:val="24"/>
                <w14:ligatures w14:val="none"/>
              </w:rPr>
            </w:pPr>
            <w:r>
              <w:rPr>
                <w:rFonts w:ascii="宋体" w:hAnsi="宋体" w:eastAsia="宋体" w:cs="Times New Roman"/>
                <w:sz w:val="24"/>
                <w:szCs w:val="24"/>
                <w14:ligatures w14:val="none"/>
              </w:rPr>
              <w:t>15</w:t>
            </w:r>
          </w:p>
        </w:tc>
        <w:tc>
          <w:tcPr>
            <w:tcW w:w="6095" w:type="dxa"/>
            <w:vAlign w:val="center"/>
          </w:tcPr>
          <w:p>
            <w:pPr>
              <w:adjustRightInd w:val="0"/>
              <w:snapToGrid w:val="0"/>
              <w:spacing w:line="360" w:lineRule="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根据投标人提供运维方案内容进行评审打分，重点考量是否满足医院对运维安全性、稳定性、服务效率的要求，评委根据方案进行评分。</w:t>
            </w:r>
          </w:p>
          <w:p>
            <w:pPr>
              <w:adjustRightInd w:val="0"/>
              <w:snapToGrid w:val="0"/>
              <w:spacing w:line="360" w:lineRule="auto"/>
              <w:rPr>
                <w:rFonts w:ascii="宋体" w:hAnsi="宋体" w:eastAsia="宋体" w:cs="Times New Roman"/>
                <w:sz w:val="24"/>
                <w:szCs w:val="24"/>
                <w14:ligatures w14:val="none"/>
              </w:rPr>
            </w:pPr>
            <w:r>
              <w:rPr>
                <w:rFonts w:ascii="宋体" w:hAnsi="宋体" w:eastAsia="宋体" w:cs="Times New Roman"/>
                <w:sz w:val="24"/>
                <w:szCs w:val="24"/>
                <w14:ligatures w14:val="none"/>
              </w:rPr>
              <w:t>1</w:t>
            </w:r>
            <w:r>
              <w:rPr>
                <w:rFonts w:hint="eastAsia" w:ascii="宋体" w:hAnsi="宋体" w:eastAsia="宋体" w:cs="Times New Roman"/>
                <w:sz w:val="24"/>
                <w:szCs w:val="24"/>
                <w14:ligatures w14:val="none"/>
              </w:rPr>
              <w:t>、拥有统一的运维管理平台，具备全面的授权管理机制，具备完善的生产环境审计机制的得</w:t>
            </w:r>
            <w:r>
              <w:rPr>
                <w:rFonts w:ascii="宋体" w:hAnsi="宋体" w:eastAsia="宋体" w:cs="Times New Roman"/>
                <w:sz w:val="24"/>
                <w:szCs w:val="24"/>
                <w14:ligatures w14:val="none"/>
              </w:rPr>
              <w:t>15</w:t>
            </w:r>
            <w:r>
              <w:rPr>
                <w:rFonts w:hint="eastAsia" w:ascii="宋体" w:hAnsi="宋体" w:eastAsia="宋体" w:cs="Times New Roman"/>
                <w:sz w:val="24"/>
                <w:szCs w:val="24"/>
                <w14:ligatures w14:val="none"/>
              </w:rPr>
              <w:t>分；</w:t>
            </w:r>
          </w:p>
          <w:p>
            <w:pPr>
              <w:adjustRightInd w:val="0"/>
              <w:snapToGrid w:val="0"/>
              <w:spacing w:line="360" w:lineRule="auto"/>
              <w:rPr>
                <w:rFonts w:ascii="宋体" w:hAnsi="宋体" w:eastAsia="宋体" w:cs="Times New Roman"/>
                <w:sz w:val="24"/>
                <w:szCs w:val="24"/>
                <w14:ligatures w14:val="none"/>
              </w:rPr>
            </w:pP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、拥有简单的运维工具，基于虚拟机或者物理机进行部署，可以进行简单的主机运维的得</w:t>
            </w:r>
            <w:r>
              <w:rPr>
                <w:rFonts w:ascii="宋体" w:hAnsi="宋体" w:eastAsia="宋体" w:cs="Times New Roman"/>
                <w:sz w:val="24"/>
                <w:szCs w:val="24"/>
                <w14:ligatures w14:val="none"/>
              </w:rPr>
              <w:t>10</w:t>
            </w:r>
            <w:r>
              <w:rPr>
                <w:rFonts w:hint="eastAsia" w:ascii="宋体" w:hAnsi="宋体" w:eastAsia="宋体" w:cs="Times New Roman"/>
                <w:sz w:val="24"/>
                <w:szCs w:val="24"/>
                <w14:ligatures w14:val="none"/>
              </w:rPr>
              <w:t>分；</w:t>
            </w:r>
          </w:p>
          <w:p>
            <w:pPr>
              <w:adjustRightInd w:val="0"/>
              <w:snapToGrid w:val="0"/>
              <w:spacing w:line="360" w:lineRule="auto"/>
              <w:rPr>
                <w:rFonts w:ascii="宋体" w:hAnsi="宋体" w:eastAsia="宋体" w:cs="Times New Roman"/>
                <w:sz w:val="24"/>
                <w:szCs w:val="24"/>
                <w14:ligatures w14:val="none"/>
              </w:rPr>
            </w:pPr>
            <w:r>
              <w:rPr>
                <w:rFonts w:ascii="宋体" w:hAnsi="宋体" w:eastAsia="宋体" w:cs="Times New Roman"/>
                <w:sz w:val="24"/>
                <w:szCs w:val="24"/>
                <w14:ligatures w14:val="none"/>
              </w:rPr>
              <w:t>3</w:t>
            </w:r>
            <w:r>
              <w:rPr>
                <w:rFonts w:hint="eastAsia" w:ascii="宋体" w:hAnsi="宋体" w:eastAsia="宋体" w:cs="Times New Roman"/>
                <w:sz w:val="24"/>
                <w:szCs w:val="24"/>
                <w14:ligatures w14:val="none"/>
              </w:rPr>
              <w:t>、人工手动运维的得</w:t>
            </w:r>
            <w:r>
              <w:rPr>
                <w:rFonts w:ascii="宋体" w:hAnsi="宋体" w:eastAsia="宋体" w:cs="Times New Roman"/>
                <w:sz w:val="24"/>
                <w:szCs w:val="24"/>
                <w14:ligatures w14:val="none"/>
              </w:rPr>
              <w:t>5</w:t>
            </w:r>
            <w:r>
              <w:rPr>
                <w:rFonts w:hint="eastAsia" w:ascii="宋体" w:hAnsi="宋体" w:eastAsia="宋体" w:cs="Times New Roman"/>
                <w:sz w:val="24"/>
                <w:szCs w:val="24"/>
                <w14:ligatures w14:val="none"/>
              </w:rPr>
              <w:t>分；</w:t>
            </w:r>
          </w:p>
          <w:p>
            <w:pPr>
              <w:spacing w:line="360" w:lineRule="auto"/>
              <w:rPr>
                <w:rFonts w:ascii="宋体" w:hAnsi="宋体" w:eastAsia="宋体" w:cs="宋体"/>
                <w:sz w:val="24"/>
                <w:szCs w:val="24"/>
                <w14:ligatures w14:val="none"/>
              </w:rPr>
            </w:pPr>
            <w:r>
              <w:rPr>
                <w:rFonts w:ascii="宋体" w:hAnsi="宋体" w:eastAsia="宋体" w:cs="Courier New"/>
                <w:sz w:val="24"/>
                <w:szCs w:val="24"/>
                <w14:ligatures w14:val="none"/>
              </w:rPr>
              <w:t>4</w:t>
            </w:r>
            <w:r>
              <w:rPr>
                <w:rFonts w:hint="eastAsia" w:ascii="宋体" w:hAnsi="宋体" w:eastAsia="宋体" w:cs="Courier New"/>
                <w:sz w:val="24"/>
                <w:szCs w:val="24"/>
                <w14:ligatures w14: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pPr>
              <w:spacing w:line="360" w:lineRule="auto"/>
              <w:jc w:val="center"/>
              <w:rPr>
                <w:rFonts w:ascii="宋体" w:hAnsi="宋体" w:eastAsia="宋体" w:cs="Times New Roman"/>
                <w:sz w:val="24"/>
                <w:szCs w:val="24"/>
                <w14:ligatures w14:val="none"/>
              </w:rPr>
            </w:pPr>
          </w:p>
        </w:tc>
        <w:tc>
          <w:tcPr>
            <w:tcW w:w="851" w:type="dxa"/>
            <w:vAlign w:val="center"/>
          </w:tcPr>
          <w:p>
            <w:pPr>
              <w:spacing w:line="360" w:lineRule="auto"/>
              <w:jc w:val="center"/>
              <w:rPr>
                <w:rFonts w:ascii="宋体" w:hAnsi="宋体" w:eastAsia="宋体" w:cs="Times New Roman"/>
                <w:sz w:val="24"/>
                <w:szCs w:val="24"/>
                <w14:ligatures w14:val="none"/>
              </w:rPr>
            </w:pPr>
            <w:r>
              <w:rPr>
                <w:rFonts w:hint="eastAsia" w:ascii="宋体" w:hAnsi="宋体" w:eastAsia="宋体" w:cs="Times New Roman"/>
                <w:kern w:val="0"/>
                <w:sz w:val="24"/>
                <w:szCs w:val="24"/>
                <w14:ligatures w14:val="none"/>
              </w:rPr>
              <w:t>服务方案</w:t>
            </w:r>
          </w:p>
        </w:tc>
        <w:tc>
          <w:tcPr>
            <w:tcW w:w="709" w:type="dxa"/>
            <w:vAlign w:val="center"/>
          </w:tcPr>
          <w:p>
            <w:pPr>
              <w:spacing w:line="360" w:lineRule="auto"/>
              <w:jc w:val="center"/>
              <w:rPr>
                <w:rFonts w:ascii="宋体" w:hAnsi="宋体" w:eastAsia="宋体" w:cs="Times New Roman"/>
                <w:sz w:val="24"/>
                <w:szCs w:val="24"/>
                <w14:ligatures w14:val="none"/>
              </w:rPr>
            </w:pPr>
            <w:r>
              <w:rPr>
                <w:rFonts w:ascii="宋体" w:hAnsi="宋体" w:eastAsia="宋体" w:cs="Times New Roman"/>
                <w:color w:val="0D0D0D"/>
                <w:sz w:val="24"/>
                <w:szCs w:val="24"/>
                <w14:ligatures w14:val="none"/>
              </w:rPr>
              <w:t>15</w:t>
            </w:r>
          </w:p>
        </w:tc>
        <w:tc>
          <w:tcPr>
            <w:tcW w:w="6095" w:type="dxa"/>
            <w:vAlign w:val="center"/>
          </w:tcPr>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投标文件中应提供对本项目的售后服务方案，评审专家根据售后服务体系、服务人员数量配备和分工、响应时间、售后服务措施等内容的合理性和可行性进行评分：</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1）售后服务体系健全，有专门的售后服务组织结构和清晰的服务定位；服务人员配备齐全、分工合理，配备专门的服务人员并明确人员职责；响应时间明确、及时，售后服务措施完整、合理、可行得15</w:t>
            </w:r>
            <w:r>
              <w:rPr>
                <w:rFonts w:hint="eastAsia" w:ascii="宋体" w:hAnsi="宋体" w:eastAsia="宋体" w:cs="Courier New"/>
                <w:spacing w:val="-3"/>
                <w:sz w:val="24"/>
                <w:szCs w:val="24"/>
                <w14:ligatures w14:val="none"/>
              </w:rPr>
              <w:t>分</w:t>
            </w:r>
            <w:r>
              <w:rPr>
                <w:rFonts w:ascii="宋体" w:hAnsi="宋体" w:eastAsia="宋体" w:cs="Courier New"/>
                <w:spacing w:val="-3"/>
                <w:sz w:val="24"/>
                <w:szCs w:val="24"/>
                <w14:ligatures w14:val="none"/>
              </w:rPr>
              <w:t>；</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2）售后服务体系基本健全，服务定位不清晰；服务人员配备齐全、分工合理，未明确人员职责；响应时间及时、售后服务措施基本完整、合理、可行得10分；</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3）售后服务体系不健全，缺少售后服务组织机构和服务定位；服务人员配备不足、没有分工，响应时间不明确，没有售后服务措施的得5分；</w:t>
            </w:r>
          </w:p>
          <w:p>
            <w:pPr>
              <w:adjustRightInd w:val="0"/>
              <w:snapToGrid w:val="0"/>
              <w:spacing w:line="360" w:lineRule="auto"/>
              <w:rPr>
                <w:rFonts w:ascii="宋体" w:hAnsi="宋体" w:eastAsia="宋体" w:cs="Times New Roman"/>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pPr>
              <w:spacing w:line="360" w:lineRule="auto"/>
              <w:jc w:val="center"/>
              <w:rPr>
                <w:rFonts w:ascii="宋体" w:hAnsi="宋体" w:eastAsia="宋体" w:cs="Times New Roman"/>
                <w:sz w:val="24"/>
                <w:szCs w:val="24"/>
                <w14:ligatures w14:val="none"/>
              </w:rPr>
            </w:pPr>
          </w:p>
        </w:tc>
        <w:tc>
          <w:tcPr>
            <w:tcW w:w="851" w:type="dxa"/>
            <w:vAlign w:val="center"/>
          </w:tcPr>
          <w:p>
            <w:pPr>
              <w:spacing w:line="360" w:lineRule="auto"/>
              <w:jc w:val="center"/>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应急预案</w:t>
            </w:r>
          </w:p>
        </w:tc>
        <w:tc>
          <w:tcPr>
            <w:tcW w:w="709" w:type="dxa"/>
            <w:vAlign w:val="center"/>
          </w:tcPr>
          <w:p>
            <w:pPr>
              <w:spacing w:line="360" w:lineRule="auto"/>
              <w:jc w:val="center"/>
              <w:rPr>
                <w:rFonts w:ascii="宋体" w:hAnsi="宋体" w:eastAsia="宋体" w:cs="Times New Roman"/>
                <w:color w:val="0D0D0D"/>
                <w:sz w:val="24"/>
                <w:szCs w:val="24"/>
                <w14:ligatures w14:val="none"/>
              </w:rPr>
            </w:pPr>
            <w:r>
              <w:rPr>
                <w:rFonts w:hint="eastAsia" w:ascii="宋体" w:hAnsi="宋体" w:eastAsia="宋体" w:cs="Times New Roman"/>
                <w:color w:val="0D0D0D"/>
                <w:sz w:val="24"/>
                <w:szCs w:val="24"/>
                <w14:ligatures w14:val="none"/>
              </w:rPr>
              <w:t>1</w:t>
            </w:r>
            <w:r>
              <w:rPr>
                <w:rFonts w:ascii="宋体" w:hAnsi="宋体" w:eastAsia="宋体" w:cs="Times New Roman"/>
                <w:color w:val="0D0D0D"/>
                <w:sz w:val="24"/>
                <w:szCs w:val="24"/>
                <w14:ligatures w14:val="none"/>
              </w:rPr>
              <w:t>5</w:t>
            </w:r>
          </w:p>
        </w:tc>
        <w:tc>
          <w:tcPr>
            <w:tcW w:w="6095" w:type="dxa"/>
            <w:vAlign w:val="center"/>
          </w:tcPr>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投标文件中要求根据用户现状提供完备的项目应急方案。评审专家根据产品出现故障后，响应及排除故障时间安排情况，保障措施或应急预案安排情况进行评分：</w:t>
            </w:r>
            <w:r>
              <w:rPr>
                <w:rFonts w:ascii="宋体" w:hAnsi="宋体" w:eastAsia="宋体" w:cs="Courier New"/>
                <w:spacing w:val="-3"/>
                <w:sz w:val="24"/>
                <w:szCs w:val="24"/>
                <w14:ligatures w14:val="none"/>
              </w:rPr>
              <w:t xml:space="preserve"> </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1）响应及排除故障时间安排及时；保障措施充分，设立应急组织机构、具有重大任务和突发事件应急措施；针对各种突发事件提供处置预案的得15分；</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2）响应及排除故障时间安排及时；保障措施充分，设立应急组织机构、缺少重大任务和突发事件应急措施；提供处置预案针对性不强的得10分；</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3）响应及排除故障时间安排不够及时；保障措施不充分，设立应急组织机构、缺少重大任务和突发事件应急措施；未针对突发事件提供处置预案的得5分；</w:t>
            </w:r>
          </w:p>
          <w:p>
            <w:pPr>
              <w:adjustRightInd w:val="0"/>
              <w:snapToGrid w:val="0"/>
              <w:spacing w:line="360" w:lineRule="auto"/>
              <w:rPr>
                <w:rFonts w:ascii="宋体" w:hAnsi="宋体" w:eastAsia="宋体" w:cs="Courier New"/>
                <w:spacing w:val="-3"/>
                <w:sz w:val="24"/>
                <w:szCs w:val="24"/>
                <w14:ligatures w14:val="none"/>
              </w:rPr>
            </w:pPr>
            <w:r>
              <w:rPr>
                <w:rFonts w:hint="eastAsia" w:ascii="宋体" w:hAnsi="宋体" w:eastAsia="宋体" w:cs="Courier New"/>
                <w:spacing w:val="-3"/>
                <w:sz w:val="24"/>
                <w:szCs w:val="24"/>
                <w14:ligatures w14:val="none"/>
              </w:rPr>
              <w:t>（</w:t>
            </w:r>
            <w:r>
              <w:rPr>
                <w:rFonts w:ascii="宋体" w:hAnsi="宋体" w:eastAsia="宋体" w:cs="Courier New"/>
                <w:spacing w:val="-3"/>
                <w:sz w:val="24"/>
                <w:szCs w:val="24"/>
                <w14:ligatures w14:val="none"/>
              </w:rPr>
              <w:t>4）未提供方案不得分。</w:t>
            </w:r>
          </w:p>
        </w:tc>
      </w:tr>
      <w:bookmarkEnd w:id="1"/>
    </w:tbl>
    <w:p>
      <w:pPr>
        <w:rPr>
          <w:rFonts w:ascii="宋体" w:hAnsi="宋体" w:eastAsia="宋体" w:cs="Times New Roman"/>
          <w:b/>
          <w:bCs/>
          <w:color w:val="FF0000"/>
          <w:sz w:val="24"/>
          <w:szCs w:val="24"/>
          <w14:ligatures w14:val="none"/>
        </w:rPr>
      </w:pPr>
    </w:p>
    <w:p>
      <w:pPr>
        <w:widowControl/>
        <w:jc w:val="left"/>
        <w:rPr>
          <w:rFonts w:ascii="宋体" w:hAnsi="宋体" w:eastAsia="宋体"/>
          <w:sz w:val="24"/>
          <w:szCs w:val="24"/>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767517"/>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65AD9"/>
    <w:multiLevelType w:val="multilevel"/>
    <w:tmpl w:val="3A365AD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wZDI0MTA1ZmRlOGFhMDU0ZmEyNGRmODBhY2NlOGMifQ=="/>
  </w:docVars>
  <w:rsids>
    <w:rsidRoot w:val="00106335"/>
    <w:rsid w:val="00003BD5"/>
    <w:rsid w:val="0001450F"/>
    <w:rsid w:val="000227A7"/>
    <w:rsid w:val="00022979"/>
    <w:rsid w:val="00026E0B"/>
    <w:rsid w:val="00032398"/>
    <w:rsid w:val="00046673"/>
    <w:rsid w:val="00051602"/>
    <w:rsid w:val="00052FAD"/>
    <w:rsid w:val="00065022"/>
    <w:rsid w:val="00086A6E"/>
    <w:rsid w:val="00087316"/>
    <w:rsid w:val="000964F9"/>
    <w:rsid w:val="000A1569"/>
    <w:rsid w:val="000D414E"/>
    <w:rsid w:val="000D4C1A"/>
    <w:rsid w:val="000D54F3"/>
    <w:rsid w:val="000D7F1B"/>
    <w:rsid w:val="000E03E3"/>
    <w:rsid w:val="000F1D95"/>
    <w:rsid w:val="000F7A81"/>
    <w:rsid w:val="00103F5F"/>
    <w:rsid w:val="00105911"/>
    <w:rsid w:val="00106335"/>
    <w:rsid w:val="0011539F"/>
    <w:rsid w:val="0014026F"/>
    <w:rsid w:val="001607B9"/>
    <w:rsid w:val="0016518E"/>
    <w:rsid w:val="001663DA"/>
    <w:rsid w:val="00172358"/>
    <w:rsid w:val="00174727"/>
    <w:rsid w:val="0018320C"/>
    <w:rsid w:val="001A2EF1"/>
    <w:rsid w:val="001A3122"/>
    <w:rsid w:val="001A7A2F"/>
    <w:rsid w:val="001B19E9"/>
    <w:rsid w:val="001C03F5"/>
    <w:rsid w:val="001D16A2"/>
    <w:rsid w:val="001E0D35"/>
    <w:rsid w:val="001E192E"/>
    <w:rsid w:val="001E2FA7"/>
    <w:rsid w:val="001E55A1"/>
    <w:rsid w:val="001E6ABA"/>
    <w:rsid w:val="001F0D6E"/>
    <w:rsid w:val="002048B8"/>
    <w:rsid w:val="00213C8C"/>
    <w:rsid w:val="00223DCE"/>
    <w:rsid w:val="00225A46"/>
    <w:rsid w:val="00234A40"/>
    <w:rsid w:val="002408A4"/>
    <w:rsid w:val="00244E7D"/>
    <w:rsid w:val="002450D4"/>
    <w:rsid w:val="00246CBD"/>
    <w:rsid w:val="00252862"/>
    <w:rsid w:val="00271992"/>
    <w:rsid w:val="00277B8B"/>
    <w:rsid w:val="002821D1"/>
    <w:rsid w:val="00294CF3"/>
    <w:rsid w:val="002A510D"/>
    <w:rsid w:val="002B36A2"/>
    <w:rsid w:val="002B7854"/>
    <w:rsid w:val="002D0EC5"/>
    <w:rsid w:val="002D3140"/>
    <w:rsid w:val="002E16BF"/>
    <w:rsid w:val="002E2D5E"/>
    <w:rsid w:val="002E3757"/>
    <w:rsid w:val="00303C64"/>
    <w:rsid w:val="00306E81"/>
    <w:rsid w:val="00310105"/>
    <w:rsid w:val="00370A87"/>
    <w:rsid w:val="00373740"/>
    <w:rsid w:val="00382558"/>
    <w:rsid w:val="003C6EFB"/>
    <w:rsid w:val="003F7E95"/>
    <w:rsid w:val="00405AFF"/>
    <w:rsid w:val="004269C8"/>
    <w:rsid w:val="00431221"/>
    <w:rsid w:val="0043237E"/>
    <w:rsid w:val="004345D6"/>
    <w:rsid w:val="00436619"/>
    <w:rsid w:val="00441B87"/>
    <w:rsid w:val="0044430B"/>
    <w:rsid w:val="0045156B"/>
    <w:rsid w:val="00465083"/>
    <w:rsid w:val="0047214C"/>
    <w:rsid w:val="00475375"/>
    <w:rsid w:val="00477307"/>
    <w:rsid w:val="004842D7"/>
    <w:rsid w:val="00484520"/>
    <w:rsid w:val="00486C22"/>
    <w:rsid w:val="00492D5D"/>
    <w:rsid w:val="004A0337"/>
    <w:rsid w:val="004A16E3"/>
    <w:rsid w:val="004A2439"/>
    <w:rsid w:val="004A4751"/>
    <w:rsid w:val="004B14EA"/>
    <w:rsid w:val="004B1BB9"/>
    <w:rsid w:val="004B4E48"/>
    <w:rsid w:val="004E77D9"/>
    <w:rsid w:val="005163B0"/>
    <w:rsid w:val="00521632"/>
    <w:rsid w:val="00522442"/>
    <w:rsid w:val="005241F8"/>
    <w:rsid w:val="005321C1"/>
    <w:rsid w:val="00532CD7"/>
    <w:rsid w:val="00551834"/>
    <w:rsid w:val="005578D0"/>
    <w:rsid w:val="00562893"/>
    <w:rsid w:val="00574B79"/>
    <w:rsid w:val="00582244"/>
    <w:rsid w:val="00582937"/>
    <w:rsid w:val="00584D34"/>
    <w:rsid w:val="005850C3"/>
    <w:rsid w:val="005A2FD0"/>
    <w:rsid w:val="005A5696"/>
    <w:rsid w:val="005B1C2F"/>
    <w:rsid w:val="005C74B7"/>
    <w:rsid w:val="005D2FAB"/>
    <w:rsid w:val="005D33E6"/>
    <w:rsid w:val="005E16E4"/>
    <w:rsid w:val="005E45B4"/>
    <w:rsid w:val="0060563D"/>
    <w:rsid w:val="00612C17"/>
    <w:rsid w:val="0061483D"/>
    <w:rsid w:val="00614886"/>
    <w:rsid w:val="00621C42"/>
    <w:rsid w:val="006320B8"/>
    <w:rsid w:val="006342D9"/>
    <w:rsid w:val="00640C32"/>
    <w:rsid w:val="00642591"/>
    <w:rsid w:val="00643DA9"/>
    <w:rsid w:val="00646DCB"/>
    <w:rsid w:val="006479F8"/>
    <w:rsid w:val="00651A0F"/>
    <w:rsid w:val="006575B6"/>
    <w:rsid w:val="006609F9"/>
    <w:rsid w:val="006631C6"/>
    <w:rsid w:val="006B71DE"/>
    <w:rsid w:val="006C305D"/>
    <w:rsid w:val="006C6059"/>
    <w:rsid w:val="006D25A7"/>
    <w:rsid w:val="006D2797"/>
    <w:rsid w:val="006D60B7"/>
    <w:rsid w:val="006F036A"/>
    <w:rsid w:val="006F2387"/>
    <w:rsid w:val="00702B67"/>
    <w:rsid w:val="00706E45"/>
    <w:rsid w:val="00712E8E"/>
    <w:rsid w:val="00713057"/>
    <w:rsid w:val="00713998"/>
    <w:rsid w:val="007249D2"/>
    <w:rsid w:val="00726308"/>
    <w:rsid w:val="00735857"/>
    <w:rsid w:val="007450F5"/>
    <w:rsid w:val="00745DD0"/>
    <w:rsid w:val="00761611"/>
    <w:rsid w:val="007A2B0E"/>
    <w:rsid w:val="007A5B56"/>
    <w:rsid w:val="007B0940"/>
    <w:rsid w:val="007B414F"/>
    <w:rsid w:val="007B458A"/>
    <w:rsid w:val="007B6B59"/>
    <w:rsid w:val="007C0C7D"/>
    <w:rsid w:val="007C5F2D"/>
    <w:rsid w:val="007C72C9"/>
    <w:rsid w:val="007C79B2"/>
    <w:rsid w:val="007D6EA6"/>
    <w:rsid w:val="007E528E"/>
    <w:rsid w:val="007E5818"/>
    <w:rsid w:val="007F2788"/>
    <w:rsid w:val="00803A78"/>
    <w:rsid w:val="00812C9E"/>
    <w:rsid w:val="008134CF"/>
    <w:rsid w:val="00827446"/>
    <w:rsid w:val="00834627"/>
    <w:rsid w:val="008350EB"/>
    <w:rsid w:val="0084263E"/>
    <w:rsid w:val="00845E6D"/>
    <w:rsid w:val="0084722B"/>
    <w:rsid w:val="00854A8C"/>
    <w:rsid w:val="008630A8"/>
    <w:rsid w:val="008645DC"/>
    <w:rsid w:val="00873039"/>
    <w:rsid w:val="00876DCE"/>
    <w:rsid w:val="008A1026"/>
    <w:rsid w:val="008B6FFC"/>
    <w:rsid w:val="008D7427"/>
    <w:rsid w:val="008E00F4"/>
    <w:rsid w:val="008E15D6"/>
    <w:rsid w:val="008E68BE"/>
    <w:rsid w:val="008F117C"/>
    <w:rsid w:val="008F13C4"/>
    <w:rsid w:val="008F2F17"/>
    <w:rsid w:val="00905FA4"/>
    <w:rsid w:val="00912A8A"/>
    <w:rsid w:val="00914B57"/>
    <w:rsid w:val="009373D4"/>
    <w:rsid w:val="00943241"/>
    <w:rsid w:val="0094791D"/>
    <w:rsid w:val="009529C9"/>
    <w:rsid w:val="009567FD"/>
    <w:rsid w:val="009712E7"/>
    <w:rsid w:val="00976D26"/>
    <w:rsid w:val="00982BD7"/>
    <w:rsid w:val="00991DA8"/>
    <w:rsid w:val="00996FC7"/>
    <w:rsid w:val="009A3A37"/>
    <w:rsid w:val="009A7944"/>
    <w:rsid w:val="009C0BEF"/>
    <w:rsid w:val="009D0451"/>
    <w:rsid w:val="009D07A5"/>
    <w:rsid w:val="009E059C"/>
    <w:rsid w:val="009E0DE6"/>
    <w:rsid w:val="009E13D7"/>
    <w:rsid w:val="00A00124"/>
    <w:rsid w:val="00A0711C"/>
    <w:rsid w:val="00A14E85"/>
    <w:rsid w:val="00A16118"/>
    <w:rsid w:val="00A26C04"/>
    <w:rsid w:val="00A36DE5"/>
    <w:rsid w:val="00A5682D"/>
    <w:rsid w:val="00A648A5"/>
    <w:rsid w:val="00A70A26"/>
    <w:rsid w:val="00AA1B29"/>
    <w:rsid w:val="00AA382F"/>
    <w:rsid w:val="00AC3B20"/>
    <w:rsid w:val="00AC3DC0"/>
    <w:rsid w:val="00AD1AF9"/>
    <w:rsid w:val="00AE1BBF"/>
    <w:rsid w:val="00AE6298"/>
    <w:rsid w:val="00AF5697"/>
    <w:rsid w:val="00B10DF2"/>
    <w:rsid w:val="00B20901"/>
    <w:rsid w:val="00B2734E"/>
    <w:rsid w:val="00B407DF"/>
    <w:rsid w:val="00B4561B"/>
    <w:rsid w:val="00B465C1"/>
    <w:rsid w:val="00B62F7E"/>
    <w:rsid w:val="00B7089C"/>
    <w:rsid w:val="00B76402"/>
    <w:rsid w:val="00B86FC2"/>
    <w:rsid w:val="00BA774E"/>
    <w:rsid w:val="00BC0218"/>
    <w:rsid w:val="00BC05AB"/>
    <w:rsid w:val="00BC0E10"/>
    <w:rsid w:val="00BC65E3"/>
    <w:rsid w:val="00BE1E4E"/>
    <w:rsid w:val="00BE69BF"/>
    <w:rsid w:val="00BF0DC5"/>
    <w:rsid w:val="00C111B7"/>
    <w:rsid w:val="00C11FD6"/>
    <w:rsid w:val="00C14716"/>
    <w:rsid w:val="00C168AE"/>
    <w:rsid w:val="00C22EA9"/>
    <w:rsid w:val="00C24DEC"/>
    <w:rsid w:val="00C24F29"/>
    <w:rsid w:val="00C31BA4"/>
    <w:rsid w:val="00C4068A"/>
    <w:rsid w:val="00C4667E"/>
    <w:rsid w:val="00C558E3"/>
    <w:rsid w:val="00C56FC1"/>
    <w:rsid w:val="00C61DFB"/>
    <w:rsid w:val="00C71165"/>
    <w:rsid w:val="00C82FF2"/>
    <w:rsid w:val="00C932A0"/>
    <w:rsid w:val="00C95295"/>
    <w:rsid w:val="00C957CD"/>
    <w:rsid w:val="00CB512A"/>
    <w:rsid w:val="00CC45A4"/>
    <w:rsid w:val="00CC6A00"/>
    <w:rsid w:val="00CC7351"/>
    <w:rsid w:val="00CC7B18"/>
    <w:rsid w:val="00CE32B3"/>
    <w:rsid w:val="00CE6660"/>
    <w:rsid w:val="00D01BE8"/>
    <w:rsid w:val="00D0549E"/>
    <w:rsid w:val="00D05D0E"/>
    <w:rsid w:val="00D071E5"/>
    <w:rsid w:val="00D132EC"/>
    <w:rsid w:val="00D2753E"/>
    <w:rsid w:val="00D3340F"/>
    <w:rsid w:val="00D34189"/>
    <w:rsid w:val="00D36448"/>
    <w:rsid w:val="00D37E2D"/>
    <w:rsid w:val="00D447A1"/>
    <w:rsid w:val="00D475E8"/>
    <w:rsid w:val="00D60747"/>
    <w:rsid w:val="00D609B4"/>
    <w:rsid w:val="00D67432"/>
    <w:rsid w:val="00D770B1"/>
    <w:rsid w:val="00D93E7E"/>
    <w:rsid w:val="00D9738D"/>
    <w:rsid w:val="00DA2E8B"/>
    <w:rsid w:val="00DB157E"/>
    <w:rsid w:val="00DB2A3C"/>
    <w:rsid w:val="00DB56ED"/>
    <w:rsid w:val="00DC010B"/>
    <w:rsid w:val="00DD099E"/>
    <w:rsid w:val="00DD3B91"/>
    <w:rsid w:val="00DE48F1"/>
    <w:rsid w:val="00DE4AF0"/>
    <w:rsid w:val="00DF08AC"/>
    <w:rsid w:val="00DF403F"/>
    <w:rsid w:val="00E1361F"/>
    <w:rsid w:val="00E169A4"/>
    <w:rsid w:val="00E17100"/>
    <w:rsid w:val="00E3265E"/>
    <w:rsid w:val="00E33CBA"/>
    <w:rsid w:val="00E37321"/>
    <w:rsid w:val="00E4453E"/>
    <w:rsid w:val="00E500B4"/>
    <w:rsid w:val="00E524C4"/>
    <w:rsid w:val="00E5503F"/>
    <w:rsid w:val="00E67FA6"/>
    <w:rsid w:val="00E825E9"/>
    <w:rsid w:val="00E8362D"/>
    <w:rsid w:val="00E83758"/>
    <w:rsid w:val="00E92AF0"/>
    <w:rsid w:val="00E962BC"/>
    <w:rsid w:val="00EA0A63"/>
    <w:rsid w:val="00EA5995"/>
    <w:rsid w:val="00EB082D"/>
    <w:rsid w:val="00EC5B10"/>
    <w:rsid w:val="00EC6178"/>
    <w:rsid w:val="00ED5352"/>
    <w:rsid w:val="00EF354C"/>
    <w:rsid w:val="00F00B32"/>
    <w:rsid w:val="00F011DA"/>
    <w:rsid w:val="00F078F1"/>
    <w:rsid w:val="00F11BBB"/>
    <w:rsid w:val="00F22E56"/>
    <w:rsid w:val="00F33600"/>
    <w:rsid w:val="00F4347F"/>
    <w:rsid w:val="00F52DCD"/>
    <w:rsid w:val="00F641A9"/>
    <w:rsid w:val="00F67E7A"/>
    <w:rsid w:val="00F71C99"/>
    <w:rsid w:val="00F83CAB"/>
    <w:rsid w:val="00FA1232"/>
    <w:rsid w:val="00FA1BB4"/>
    <w:rsid w:val="00FA7B03"/>
    <w:rsid w:val="00FE6FEA"/>
    <w:rsid w:val="00FF0F72"/>
    <w:rsid w:val="00FF24DF"/>
    <w:rsid w:val="00FF739A"/>
    <w:rsid w:val="02CF13D9"/>
    <w:rsid w:val="333F11E0"/>
    <w:rsid w:val="38864053"/>
    <w:rsid w:val="3AAA354C"/>
    <w:rsid w:val="3F6901AD"/>
    <w:rsid w:val="40E36612"/>
    <w:rsid w:val="64D92445"/>
    <w:rsid w:val="673803F6"/>
    <w:rsid w:val="6D24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autoRedefine/>
    <w:qFormat/>
    <w:uiPriority w:val="9"/>
    <w:pPr>
      <w:keepNext/>
      <w:keepLines/>
      <w:spacing w:line="360" w:lineRule="auto"/>
      <w:outlineLvl w:val="0"/>
    </w:pPr>
    <w:rPr>
      <w:rFonts w:ascii="宋体" w:hAnsi="宋体" w:eastAsia="宋体"/>
      <w:b/>
      <w:bCs/>
      <w:kern w:val="44"/>
      <w:sz w:val="32"/>
      <w:szCs w:val="44"/>
    </w:rPr>
  </w:style>
  <w:style w:type="paragraph" w:styleId="3">
    <w:name w:val="heading 2"/>
    <w:basedOn w:val="1"/>
    <w:next w:val="1"/>
    <w:link w:val="20"/>
    <w:autoRedefine/>
    <w:unhideWhenUsed/>
    <w:qFormat/>
    <w:uiPriority w:val="9"/>
    <w:pPr>
      <w:keepNext/>
      <w:keepLines/>
      <w:spacing w:line="360" w:lineRule="auto"/>
      <w:outlineLvl w:val="1"/>
    </w:pPr>
    <w:rPr>
      <w:rFonts w:ascii="宋体" w:hAnsi="宋体" w:eastAsia="宋体" w:cstheme="majorBidi"/>
      <w:b/>
      <w:bCs/>
      <w:sz w:val="30"/>
      <w:szCs w:val="32"/>
    </w:rPr>
  </w:style>
  <w:style w:type="paragraph" w:styleId="4">
    <w:name w:val="heading 3"/>
    <w:basedOn w:val="1"/>
    <w:next w:val="1"/>
    <w:link w:val="21"/>
    <w:unhideWhenUsed/>
    <w:qFormat/>
    <w:uiPriority w:val="9"/>
    <w:pPr>
      <w:keepNext/>
      <w:keepLines/>
      <w:spacing w:line="360" w:lineRule="auto"/>
      <w:outlineLvl w:val="2"/>
    </w:pPr>
    <w:rPr>
      <w:rFonts w:ascii="宋体" w:hAnsi="宋体" w:eastAsia="宋体"/>
      <w:b/>
      <w:bCs/>
      <w:sz w:val="28"/>
      <w:szCs w:val="32"/>
    </w:rPr>
  </w:style>
  <w:style w:type="paragraph" w:styleId="5">
    <w:name w:val="heading 4"/>
    <w:basedOn w:val="1"/>
    <w:next w:val="1"/>
    <w:link w:val="25"/>
    <w:autoRedefine/>
    <w:unhideWhenUsed/>
    <w:qFormat/>
    <w:uiPriority w:val="9"/>
    <w:pPr>
      <w:keepNext/>
      <w:keepLines/>
      <w:spacing w:line="360" w:lineRule="auto"/>
      <w:outlineLvl w:val="3"/>
    </w:pPr>
    <w:rPr>
      <w:rFonts w:ascii="宋体" w:hAnsi="宋体" w:eastAsia="宋体" w:cstheme="majorBidi"/>
      <w:b/>
      <w:bCs/>
      <w:sz w:val="28"/>
      <w:szCs w:val="28"/>
    </w:rPr>
  </w:style>
  <w:style w:type="character" w:default="1" w:styleId="16">
    <w:name w:val="Default Paragraph Font"/>
    <w:autoRedefine/>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autoRedefine/>
    <w:semiHidden/>
    <w:unhideWhenUsed/>
    <w:qFormat/>
    <w:uiPriority w:val="99"/>
    <w:pPr>
      <w:jc w:val="left"/>
    </w:pPr>
  </w:style>
  <w:style w:type="paragraph" w:styleId="7">
    <w:name w:val="Body Text"/>
    <w:basedOn w:val="1"/>
    <w:link w:val="31"/>
    <w:autoRedefine/>
    <w:qFormat/>
    <w:uiPriority w:val="0"/>
    <w:pPr>
      <w:spacing w:after="120"/>
    </w:pPr>
    <w:rPr>
      <w14:ligatures w14:val="none"/>
    </w:rPr>
  </w:style>
  <w:style w:type="paragraph" w:styleId="8">
    <w:name w:val="Body Text Indent"/>
    <w:basedOn w:val="1"/>
    <w:link w:val="28"/>
    <w:semiHidden/>
    <w:unhideWhenUsed/>
    <w:qFormat/>
    <w:uiPriority w:val="99"/>
    <w:pPr>
      <w:spacing w:after="120"/>
      <w:ind w:left="420" w:leftChars="200"/>
    </w:pPr>
  </w:style>
  <w:style w:type="paragraph" w:styleId="9">
    <w:name w:val="Plain Text"/>
    <w:basedOn w:val="1"/>
    <w:link w:val="22"/>
    <w:autoRedefine/>
    <w:qFormat/>
    <w:uiPriority w:val="99"/>
    <w:rPr>
      <w:rFonts w:ascii="宋体" w:hAnsi="Courier New" w:cs="Courier New"/>
      <w:szCs w:val="21"/>
    </w:rPr>
  </w:style>
  <w:style w:type="paragraph" w:styleId="10">
    <w:name w:val="footer"/>
    <w:basedOn w:val="1"/>
    <w:link w:val="34"/>
    <w:autoRedefine/>
    <w:unhideWhenUsed/>
    <w:qFormat/>
    <w:uiPriority w:val="99"/>
    <w:pPr>
      <w:tabs>
        <w:tab w:val="center" w:pos="4153"/>
        <w:tab w:val="right" w:pos="8306"/>
      </w:tabs>
      <w:snapToGrid w:val="0"/>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7"/>
    <w:semiHidden/>
    <w:unhideWhenUsed/>
    <w:qFormat/>
    <w:uiPriority w:val="99"/>
    <w:rPr>
      <w:b/>
      <w:bCs/>
    </w:rPr>
  </w:style>
  <w:style w:type="paragraph" w:styleId="13">
    <w:name w:val="Body Text First Indent 2"/>
    <w:basedOn w:val="8"/>
    <w:link w:val="29"/>
    <w:unhideWhenUsed/>
    <w:qFormat/>
    <w:uiPriority w:val="0"/>
    <w:pPr>
      <w:spacing w:line="360" w:lineRule="auto"/>
      <w:ind w:firstLine="420" w:firstLineChars="200"/>
    </w:pPr>
    <w:rPr>
      <w:rFonts w:ascii="Times New Roman" w:hAnsi="Times New Roman" w:eastAsia="宋体" w:cs="Times New Roman"/>
      <w:sz w:val="24"/>
      <w:szCs w:val="24"/>
      <w14:ligatures w14:val="none"/>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semiHidden/>
    <w:unhideWhenUsed/>
    <w:qFormat/>
    <w:uiPriority w:val="99"/>
    <w:rPr>
      <w:sz w:val="21"/>
      <w:szCs w:val="21"/>
    </w:rPr>
  </w:style>
  <w:style w:type="paragraph" w:styleId="18">
    <w:name w:val="List Paragraph"/>
    <w:basedOn w:val="1"/>
    <w:autoRedefine/>
    <w:qFormat/>
    <w:uiPriority w:val="34"/>
    <w:pPr>
      <w:ind w:firstLine="420" w:firstLineChars="200"/>
    </w:pPr>
  </w:style>
  <w:style w:type="character" w:customStyle="1" w:styleId="19">
    <w:name w:val="标题 1 字符"/>
    <w:basedOn w:val="16"/>
    <w:link w:val="2"/>
    <w:autoRedefine/>
    <w:qFormat/>
    <w:uiPriority w:val="9"/>
    <w:rPr>
      <w:rFonts w:ascii="宋体" w:hAnsi="宋体" w:eastAsia="宋体"/>
      <w:b/>
      <w:bCs/>
      <w:kern w:val="44"/>
      <w:sz w:val="32"/>
      <w:szCs w:val="44"/>
      <w14:ligatures w14:val="none"/>
    </w:rPr>
  </w:style>
  <w:style w:type="character" w:customStyle="1" w:styleId="20">
    <w:name w:val="标题 2 字符"/>
    <w:basedOn w:val="16"/>
    <w:link w:val="3"/>
    <w:autoRedefine/>
    <w:qFormat/>
    <w:uiPriority w:val="9"/>
    <w:rPr>
      <w:rFonts w:ascii="宋体" w:hAnsi="宋体" w:eastAsia="宋体" w:cstheme="majorBidi"/>
      <w:b/>
      <w:bCs/>
      <w:sz w:val="30"/>
      <w:szCs w:val="32"/>
      <w14:ligatures w14:val="none"/>
    </w:rPr>
  </w:style>
  <w:style w:type="character" w:customStyle="1" w:styleId="21">
    <w:name w:val="标题 3 字符"/>
    <w:basedOn w:val="16"/>
    <w:link w:val="4"/>
    <w:autoRedefine/>
    <w:qFormat/>
    <w:uiPriority w:val="9"/>
    <w:rPr>
      <w:rFonts w:ascii="宋体" w:hAnsi="宋体" w:eastAsia="宋体"/>
      <w:b/>
      <w:bCs/>
      <w:sz w:val="28"/>
      <w:szCs w:val="32"/>
    </w:rPr>
  </w:style>
  <w:style w:type="character" w:customStyle="1" w:styleId="22">
    <w:name w:val="纯文本 字符1"/>
    <w:link w:val="9"/>
    <w:qFormat/>
    <w:uiPriority w:val="0"/>
    <w:rPr>
      <w:rFonts w:ascii="宋体" w:hAnsi="Courier New" w:cs="Courier New"/>
      <w:szCs w:val="21"/>
    </w:rPr>
  </w:style>
  <w:style w:type="character" w:customStyle="1" w:styleId="23">
    <w:name w:val="纯文本 字符"/>
    <w:basedOn w:val="16"/>
    <w:autoRedefine/>
    <w:qFormat/>
    <w:uiPriority w:val="0"/>
    <w:rPr>
      <w:rFonts w:hAnsi="Courier New" w:cs="Courier New" w:asciiTheme="minorEastAsia"/>
    </w:rPr>
  </w:style>
  <w:style w:type="paragraph" w:customStyle="1" w:styleId="24">
    <w:name w:val="Table Paragraph"/>
    <w:basedOn w:val="1"/>
    <w:qFormat/>
    <w:uiPriority w:val="0"/>
    <w:rPr>
      <w:rFonts w:ascii="宋体" w:hAnsi="宋体" w:eastAsia="宋体" w:cs="宋体"/>
      <w:szCs w:val="21"/>
      <w14:ligatures w14:val="none"/>
    </w:rPr>
  </w:style>
  <w:style w:type="character" w:customStyle="1" w:styleId="25">
    <w:name w:val="标题 4 字符"/>
    <w:basedOn w:val="16"/>
    <w:link w:val="5"/>
    <w:uiPriority w:val="9"/>
    <w:rPr>
      <w:rFonts w:ascii="宋体" w:hAnsi="宋体" w:eastAsia="宋体" w:cstheme="majorBidi"/>
      <w:b/>
      <w:bCs/>
      <w:sz w:val="28"/>
      <w:szCs w:val="28"/>
    </w:rPr>
  </w:style>
  <w:style w:type="character" w:customStyle="1" w:styleId="26">
    <w:name w:val="批注文字 字符"/>
    <w:basedOn w:val="16"/>
    <w:link w:val="6"/>
    <w:autoRedefine/>
    <w:semiHidden/>
    <w:qFormat/>
    <w:uiPriority w:val="99"/>
  </w:style>
  <w:style w:type="character" w:customStyle="1" w:styleId="27">
    <w:name w:val="批注主题 字符"/>
    <w:basedOn w:val="26"/>
    <w:link w:val="12"/>
    <w:semiHidden/>
    <w:uiPriority w:val="99"/>
    <w:rPr>
      <w:b/>
      <w:bCs/>
    </w:rPr>
  </w:style>
  <w:style w:type="character" w:customStyle="1" w:styleId="28">
    <w:name w:val="正文文本缩进 字符"/>
    <w:basedOn w:val="16"/>
    <w:link w:val="8"/>
    <w:semiHidden/>
    <w:qFormat/>
    <w:uiPriority w:val="99"/>
  </w:style>
  <w:style w:type="character" w:customStyle="1" w:styleId="29">
    <w:name w:val="正文文本首行缩进 2 字符"/>
    <w:basedOn w:val="28"/>
    <w:link w:val="13"/>
    <w:qFormat/>
    <w:uiPriority w:val="0"/>
    <w:rPr>
      <w:rFonts w:ascii="Times New Roman" w:hAnsi="Times New Roman" w:eastAsia="宋体" w:cs="Times New Roman"/>
      <w:sz w:val="24"/>
      <w:szCs w:val="24"/>
      <w14:ligatures w14:val="none"/>
    </w:rPr>
  </w:style>
  <w:style w:type="paragraph" w:customStyle="1" w:styleId="30">
    <w:name w:val="表格"/>
    <w:basedOn w:val="1"/>
    <w:qFormat/>
    <w:uiPriority w:val="0"/>
    <w:pPr>
      <w:spacing w:line="360" w:lineRule="auto"/>
    </w:pPr>
    <w:rPr>
      <w:rFonts w:ascii="Times New Roman" w:hAnsi="Times New Roman" w:eastAsia="宋体" w:cs="Times New Roman"/>
      <w:sz w:val="24"/>
      <w:szCs w:val="24"/>
      <w14:ligatures w14:val="none"/>
    </w:rPr>
  </w:style>
  <w:style w:type="character" w:customStyle="1" w:styleId="31">
    <w:name w:val="正文文本 字符"/>
    <w:basedOn w:val="16"/>
    <w:link w:val="7"/>
    <w:uiPriority w:val="0"/>
    <w:rPr>
      <w14:ligatures w14:val="none"/>
    </w:rPr>
  </w:style>
  <w:style w:type="paragraph" w:customStyle="1" w:styleId="32">
    <w:name w:val="封面日期"/>
    <w:basedOn w:val="1"/>
    <w:qFormat/>
    <w:uiPriority w:val="0"/>
    <w:pPr>
      <w:jc w:val="center"/>
    </w:pPr>
    <w:rPr>
      <w:rFonts w:ascii="黑体" w:hAnsi="Times New Roman" w:eastAsia="黑体" w:cs="Times New Roman"/>
      <w:sz w:val="32"/>
      <w:szCs w:val="32"/>
      <w14:ligatures w14:val="none"/>
    </w:rPr>
  </w:style>
  <w:style w:type="character" w:customStyle="1" w:styleId="33">
    <w:name w:val="页眉 字符"/>
    <w:basedOn w:val="16"/>
    <w:link w:val="11"/>
    <w:autoRedefine/>
    <w:qFormat/>
    <w:uiPriority w:val="99"/>
    <w:rPr>
      <w:sz w:val="18"/>
      <w:szCs w:val="18"/>
    </w:rPr>
  </w:style>
  <w:style w:type="character" w:customStyle="1" w:styleId="34">
    <w:name w:val="页脚 字符"/>
    <w:basedOn w:val="16"/>
    <w:link w:val="10"/>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5484-9F92-4AAC-AC93-22FA5BC7D90C}">
  <ds:schemaRefs/>
</ds:datastoreItem>
</file>

<file path=docProps/app.xml><?xml version="1.0" encoding="utf-8"?>
<Properties xmlns="http://schemas.openxmlformats.org/officeDocument/2006/extended-properties" xmlns:vt="http://schemas.openxmlformats.org/officeDocument/2006/docPropsVTypes">
  <Template>Normal</Template>
  <Pages>8</Pages>
  <Words>705</Words>
  <Characters>4021</Characters>
  <Lines>33</Lines>
  <Paragraphs>9</Paragraphs>
  <TotalTime>32</TotalTime>
  <ScaleCrop>false</ScaleCrop>
  <LinksUpToDate>false</LinksUpToDate>
  <CharactersWithSpaces>4717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2024-05-29T09:19:00Z</dcterms:created>
  <dc:creator>Administrator</dc:creator>
  <cp:lastModifiedBy>李豪</cp:lastModifiedBy>
  <cp:lastPrinted>2024-05-24T01:20:00Z</cp:lastPrinted>
  <dcterms:modified xsi:type="dcterms:W3CDTF">2024-05-31T02:00:54Z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B89A5101D0ED49C8A7D3458CEC2C18F7_12</vt:lpwstr>
  </property>
</Properties>
</file>