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288" w:lineRule="auto"/>
        <w:ind w:left="0" w:leftChars="0" w:firstLine="0" w:firstLineChars="0"/>
        <w:textAlignment w:val="auto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附件三：评标办法及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其它</w:t>
      </w:r>
    </w:p>
    <w:p>
      <w:pPr>
        <w:numPr>
          <w:ilvl w:val="0"/>
          <w:numId w:val="1"/>
        </w:numPr>
        <w:spacing w:line="240" w:lineRule="auto"/>
        <w:ind w:left="360" w:hanging="360" w:hangingChars="15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本次采购项目将采用</w:t>
      </w:r>
      <w:r>
        <w:rPr>
          <w:rFonts w:hint="eastAsia" w:ascii="宋体" w:hAnsi="宋体" w:cs="宋体"/>
          <w:sz w:val="24"/>
          <w:szCs w:val="24"/>
          <w:u w:val="single"/>
        </w:rPr>
        <w:t>有效最低价法</w:t>
      </w:r>
      <w:r>
        <w:rPr>
          <w:rFonts w:hint="eastAsia" w:ascii="宋体" w:hAnsi="宋体" w:cs="宋体"/>
          <w:sz w:val="24"/>
          <w:szCs w:val="24"/>
        </w:rPr>
        <w:t>方法评审。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（1）有效最低价法：以报价为主要因素确定成交候选供应商，即在全部满足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文件实质性要求（包含资格条件、采购内容、付款方式、技术参数、项目完成期等）前提下，根据各家投标报价最低者确定中标人。</w:t>
      </w:r>
    </w:p>
    <w:p>
      <w:pPr>
        <w:spacing w:line="240" w:lineRule="auto"/>
        <w:ind w:left="0" w:leftChars="0" w:firstLine="0" w:firstLineChars="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（2）如果最低报价出现两家或两家以上者，则通过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 xml:space="preserve">评审确定成交人。  </w:t>
      </w:r>
    </w:p>
    <w:p>
      <w:pPr>
        <w:spacing w:line="240" w:lineRule="auto"/>
        <w:ind w:left="-1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（3）“有效最低价”主要考虑：①报价是否响应本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文件的实质性要求；②报价是否会降低本询价文件规定的质量、服务内容等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过程中，如果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一致认定投标人报价不合理的，可以要求投标人提供合理说明，否则</w:t>
      </w:r>
      <w:r>
        <w:rPr>
          <w:rFonts w:hint="eastAsia" w:ascii="宋体" w:hAnsi="宋体" w:cs="宋体"/>
          <w:sz w:val="24"/>
          <w:szCs w:val="24"/>
          <w:lang w:eastAsia="zh-CN"/>
        </w:rPr>
        <w:t>评委</w:t>
      </w:r>
      <w:r>
        <w:rPr>
          <w:rFonts w:hint="eastAsia" w:ascii="宋体" w:hAnsi="宋体" w:cs="宋体"/>
          <w:sz w:val="24"/>
          <w:szCs w:val="24"/>
        </w:rPr>
        <w:t>可以认定其报价无效，取消投标资格。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</w:t>
      </w:r>
      <w:r>
        <w:rPr>
          <w:rFonts w:hint="eastAsia" w:ascii="宋体" w:hAnsi="宋体"/>
          <w:sz w:val="24"/>
          <w:szCs w:val="24"/>
          <w:lang w:eastAsia="zh-CN"/>
        </w:rPr>
        <w:t>评审</w:t>
      </w:r>
      <w:r>
        <w:rPr>
          <w:rFonts w:hint="eastAsia" w:ascii="宋体" w:hAnsi="宋体"/>
          <w:sz w:val="24"/>
          <w:szCs w:val="24"/>
        </w:rPr>
        <w:t>过程中，如果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一致认定投标人报价不合理，所报价格低于投标成本或有重大缺项漏项错项的，可以要求投标人提供合理说明，否则</w:t>
      </w:r>
      <w:r>
        <w:rPr>
          <w:rFonts w:hint="eastAsia" w:ascii="宋体" w:hAnsi="宋体"/>
          <w:sz w:val="24"/>
          <w:szCs w:val="24"/>
          <w:lang w:eastAsia="zh-CN"/>
        </w:rPr>
        <w:t>评委</w:t>
      </w:r>
      <w:r>
        <w:rPr>
          <w:rFonts w:hint="eastAsia" w:ascii="宋体" w:hAnsi="宋体"/>
          <w:sz w:val="24"/>
          <w:szCs w:val="24"/>
        </w:rPr>
        <w:t>可以认定其报价无效，即取消其本次投标资格。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、投标报价为投标人在</w:t>
      </w:r>
      <w:r>
        <w:rPr>
          <w:rFonts w:hint="eastAsia" w:ascii="宋体" w:hAnsi="宋体"/>
          <w:sz w:val="24"/>
          <w:szCs w:val="24"/>
          <w:lang w:eastAsia="zh-CN"/>
        </w:rPr>
        <w:t>投标</w:t>
      </w:r>
      <w:r>
        <w:rPr>
          <w:rFonts w:hint="eastAsia" w:ascii="宋体" w:hAnsi="宋体"/>
          <w:sz w:val="24"/>
          <w:szCs w:val="24"/>
        </w:rPr>
        <w:t>文件中提出的各项支付金额的总和。包括本项目的成本、利润、税金、包装、运输等所有费用。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、投标文件请胶装密封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一正两副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,不接受散件或活页标书，不接受不清晰的投标文件。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、超过最高限价的投标报价为无效报价，</w:t>
      </w:r>
      <w:r>
        <w:rPr>
          <w:rFonts w:hint="eastAsia" w:ascii="宋体" w:hAnsi="宋体"/>
          <w:sz w:val="24"/>
          <w:szCs w:val="24"/>
          <w:lang w:val="en-US" w:eastAsia="zh-CN"/>
        </w:rPr>
        <w:t>取消投标资格</w:t>
      </w:r>
      <w:r>
        <w:rPr>
          <w:rFonts w:hint="eastAsia" w:ascii="宋体" w:hAnsi="宋体"/>
          <w:sz w:val="24"/>
          <w:szCs w:val="24"/>
        </w:rPr>
        <w:t>。所投产品请注明产品名称、规格型号、生产厂家、注册证号（或备案号）</w:t>
      </w:r>
      <w:r>
        <w:rPr>
          <w:rFonts w:hint="eastAsia" w:ascii="宋体" w:hAnsi="宋体"/>
          <w:sz w:val="24"/>
          <w:szCs w:val="24"/>
          <w:lang w:eastAsia="zh-CN"/>
        </w:rPr>
        <w:t>（如有）</w:t>
      </w:r>
      <w:r>
        <w:rPr>
          <w:rFonts w:hint="eastAsia" w:ascii="宋体" w:hAnsi="宋体"/>
          <w:sz w:val="24"/>
          <w:szCs w:val="24"/>
        </w:rPr>
        <w:t>、单位及价</w:t>
      </w:r>
      <w:r>
        <w:rPr>
          <w:rFonts w:hint="eastAsia" w:ascii="宋体" w:hAnsi="宋体"/>
          <w:sz w:val="24"/>
          <w:szCs w:val="24"/>
          <w:lang w:val="en-US" w:eastAsia="zh-CN"/>
        </w:rPr>
        <w:t>格等其他说明（示例见下表）。</w:t>
      </w:r>
    </w:p>
    <w:tbl>
      <w:tblPr>
        <w:tblStyle w:val="7"/>
        <w:tblpPr w:leftFromText="181" w:rightFromText="181" w:vertAnchor="page" w:horzAnchor="page" w:tblpX="592" w:tblpY="8158"/>
        <w:tblW w:w="11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284"/>
        <w:gridCol w:w="800"/>
        <w:gridCol w:w="1400"/>
        <w:gridCol w:w="1423"/>
        <w:gridCol w:w="250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10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6"/>
                <w:lang w:val="en-US" w:eastAsia="zh-CN"/>
              </w:rPr>
              <w:t>报 价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产品名称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规格型号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材质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单位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单价（元）</w:t>
            </w: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生产厂家或品牌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8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5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leftChars="0" w:firstLine="0" w:firstLineChars="0"/>
        <w:textAlignment w:val="auto"/>
        <w:rPr>
          <w:rFonts w:hint="default" w:ascii="宋体" w:hAnsi="宋体" w:eastAsia="宋体"/>
          <w:sz w:val="24"/>
          <w:szCs w:val="24"/>
          <w:vertAlign w:val="baseli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C8DCE"/>
    <w:multiLevelType w:val="singleLevel"/>
    <w:tmpl w:val="D02C8D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2EA303EF"/>
    <w:rsid w:val="2EA3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2024-05-17T00:29:00Z</dcterms:created>
  <dc:creator>笨鸟先飞</dc:creator>
  <cp:lastModifiedBy>笨鸟先飞</cp:lastModifiedBy>
  <dcterms:modified xsi:type="dcterms:W3CDTF">2024-05-17T00:29:39Z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EDAB17EC92AE4859A605A17FB8A8ADE9_11</vt:lpwstr>
  </property>
</Properties>
</file>