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。所投产品请注明产品名称、规格型号、生产厂家、注册证号（或备案号）</w:t>
      </w:r>
      <w:r>
        <w:rPr>
          <w:rFonts w:hint="eastAsia" w:ascii="宋体" w:hAnsi="宋体"/>
          <w:sz w:val="24"/>
          <w:szCs w:val="24"/>
          <w:lang w:eastAsia="zh-CN"/>
        </w:rPr>
        <w:t>（如有）</w:t>
      </w:r>
      <w:r>
        <w:rPr>
          <w:rFonts w:hint="eastAsia" w:ascii="宋体" w:hAnsi="宋体"/>
          <w:sz w:val="24"/>
          <w:szCs w:val="24"/>
        </w:rPr>
        <w:t>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4"/>
        <w:tblpPr w:leftFromText="181" w:rightFromText="181" w:vertAnchor="page" w:horzAnchor="page" w:tblpX="577" w:tblpY="8296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生产厂家或品牌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流水号（如有）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5685019C"/>
    <w:rsid w:val="5685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2024-03-25T06:51:00Z</dcterms:created>
  <dc:creator>笨鸟先飞</dc:creator>
  <cp:lastModifiedBy>笨鸟先飞</cp:lastModifiedBy>
  <dcterms:modified xsi:type="dcterms:W3CDTF">2024-03-25T06:52:19Z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CE19730D7693423EAB9546CE2915370A_11</vt:lpwstr>
  </property>
</Properties>
</file>