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污水处理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设备用房电缆更换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项目采购需求</w:t>
      </w:r>
    </w:p>
    <w:p>
      <w:pPr>
        <w:rPr>
          <w:rFonts w:ascii="仿宋" w:hAnsi="仿宋" w:eastAsia="仿宋" w:cs="仿宋"/>
          <w:sz w:val="30"/>
          <w:szCs w:val="30"/>
        </w:rPr>
      </w:pPr>
      <w:bookmarkStart w:id="0" w:name="_Hlk517344795"/>
      <w:r>
        <w:rPr>
          <w:rFonts w:hint="eastAsia" w:ascii="仿宋" w:hAnsi="仿宋" w:eastAsia="仿宋" w:cs="仿宋"/>
          <w:sz w:val="30"/>
          <w:szCs w:val="30"/>
        </w:rPr>
        <w:t>一、项目概况</w:t>
      </w:r>
    </w:p>
    <w:p>
      <w:pPr>
        <w:pStyle w:val="10"/>
        <w:widowControl/>
        <w:shd w:val="clear" w:color="auto" w:fill="FFFFFF"/>
        <w:spacing w:before="0" w:beforeAutospacing="0" w:after="0" w:afterAutospacing="0" w:line="390" w:lineRule="atLeast"/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霍邱县第二人民医院污水处理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设备用房电缆由洗衣房西侧楼梯转角处地面配电柜引出，通过吊装桥架敷设，进入污水处理控制中心二楼墙面结束。因原有电缆损坏，现需对原损坏电缆进行抽除并敷设新的电缆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，保证污水处</w:t>
      </w:r>
      <w:bookmarkStart w:id="1" w:name="_GoBack"/>
      <w:bookmarkEnd w:id="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理系统正常运行。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采购需求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1、采购内容</w:t>
      </w:r>
      <w:r>
        <w:rPr>
          <w:rFonts w:hint="eastAsia"/>
          <w:sz w:val="24"/>
          <w:lang w:eastAsia="zh-CN"/>
        </w:rPr>
        <w:t>及设备参数</w:t>
      </w:r>
      <w:r>
        <w:rPr>
          <w:rFonts w:hint="eastAsia"/>
          <w:sz w:val="24"/>
        </w:rPr>
        <w:t>：</w:t>
      </w:r>
    </w:p>
    <w:tbl>
      <w:tblPr>
        <w:tblStyle w:val="12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87"/>
        <w:gridCol w:w="3624"/>
        <w:gridCol w:w="111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项目内容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规格型号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电力电缆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1、名称：电力电缆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2、型号：YJV-4*95+1*50mm2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3、含原电缆抽出、辅材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配电柜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1、名称：配电柜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2、型号：JXFL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3、规格：60*80*20mm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断路器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1、规格：nxm1-400/300   400A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接线端子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1.焊铜接线端子 导线截面(mm2) ≤70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、含辅材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2、含辅材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接线端子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1.焊铜接线端子 导线截面(mm2) ≤120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2、含辅材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电缆桥架及打孔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槽式镀锌桥架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规格：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200*100*1.0mm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楼板及</w:t>
            </w:r>
            <w:r>
              <w:rPr>
                <w:rFonts w:hint="eastAsia" w:ascii="宋体" w:hAnsi="宋体" w:eastAsia="宋体" w:cs="Times New Roman"/>
                <w:szCs w:val="21"/>
              </w:rPr>
              <w:t>墙体打孔、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电缆</w:t>
            </w:r>
            <w:r>
              <w:rPr>
                <w:rFonts w:hint="eastAsia" w:ascii="宋体" w:hAnsi="宋体" w:eastAsia="宋体" w:cs="Times New Roman"/>
                <w:szCs w:val="21"/>
              </w:rPr>
              <w:t>进线桥架、槽钢、角铁和所有电缆布线固定.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1.5米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满足现场实际要求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安装调试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满足现场实际要求</w:t>
            </w:r>
          </w:p>
        </w:tc>
      </w:tr>
    </w:tbl>
    <w:p>
      <w:pPr>
        <w:pStyle w:val="10"/>
        <w:widowControl/>
        <w:shd w:val="clear" w:color="auto" w:fill="FFFFFF"/>
        <w:spacing w:before="0" w:beforeAutospacing="0" w:after="0" w:afterAutospacing="0" w:line="390" w:lineRule="atLeast"/>
        <w:rPr>
          <w:rFonts w:ascii="宋体" w:hAnsi="宋体" w:eastAsia="宋体"/>
          <w:kern w:val="2"/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  <w:lang w:eastAsia="zh-CN"/>
        </w:rPr>
        <w:t>投标人</w:t>
      </w:r>
      <w:r>
        <w:rPr>
          <w:rFonts w:hint="eastAsia"/>
          <w:sz w:val="24"/>
        </w:rPr>
        <w:t>须自行勘查现场，并对现场情况充分了解后参与，中标后供应商不得以对现场不了解或清单内容没明确等理由，导致增加的额外费用须供应商自行承担。</w:t>
      </w:r>
    </w:p>
    <w:p>
      <w:pPr>
        <w:pStyle w:val="11"/>
        <w:ind w:left="0" w:leftChars="0" w:firstLine="0" w:firstLineChars="0"/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三、预算价：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29456</w:t>
      </w:r>
      <w:r>
        <w:rPr>
          <w:rFonts w:hint="eastAsia" w:ascii="仿宋" w:hAnsi="仿宋" w:eastAsia="仿宋" w:cs="仿宋"/>
          <w:sz w:val="30"/>
          <w:szCs w:val="30"/>
        </w:rPr>
        <w:t>.00元。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供货周期：合同签订后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个日历天内完成项目改造内容。</w:t>
      </w:r>
    </w:p>
    <w:p>
      <w:pPr>
        <w:numPr>
          <w:ilvl w:val="0"/>
          <w:numId w:val="2"/>
        </w:numPr>
      </w:pPr>
      <w:r>
        <w:rPr>
          <w:rFonts w:hint="eastAsia" w:ascii="仿宋" w:hAnsi="仿宋" w:eastAsia="仿宋" w:cs="仿宋"/>
          <w:sz w:val="30"/>
          <w:szCs w:val="30"/>
        </w:rPr>
        <w:t>付款方式：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设备安装调试结束</w:t>
      </w:r>
      <w:r>
        <w:rPr>
          <w:rFonts w:hint="eastAsia" w:ascii="仿宋" w:hAnsi="仿宋" w:eastAsia="仿宋" w:cs="仿宋"/>
          <w:sz w:val="30"/>
          <w:szCs w:val="30"/>
        </w:rPr>
        <w:t>经验收合格后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由第三方审计公司进行审计后</w:t>
      </w:r>
      <w:r>
        <w:rPr>
          <w:rFonts w:hint="eastAsia" w:ascii="仿宋" w:hAnsi="仿宋" w:eastAsia="仿宋" w:cs="仿宋"/>
          <w:sz w:val="30"/>
          <w:szCs w:val="30"/>
        </w:rPr>
        <w:t>付款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审计总</w:t>
      </w:r>
      <w:r>
        <w:rPr>
          <w:rFonts w:hint="eastAsia" w:ascii="仿宋" w:hAnsi="仿宋" w:eastAsia="仿宋" w:cs="仿宋"/>
          <w:sz w:val="30"/>
          <w:szCs w:val="30"/>
        </w:rPr>
        <w:t>额的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95</w:t>
      </w:r>
      <w:r>
        <w:rPr>
          <w:rFonts w:hint="eastAsia" w:ascii="仿宋" w:hAnsi="仿宋" w:eastAsia="仿宋" w:cs="仿宋"/>
          <w:sz w:val="30"/>
          <w:szCs w:val="30"/>
        </w:rPr>
        <w:t>%，剩余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%质保期满后一次性无息付清。</w:t>
      </w:r>
    </w:p>
    <w:p>
      <w:pPr>
        <w:numPr>
          <w:ilvl w:val="0"/>
          <w:numId w:val="2"/>
        </w:num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质量保修期限：一年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评标方法：本次采购采用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完全符合条件最低价中标法，如出现报价相同由现场评委会随机抽取中标单位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bookmarkEnd w:id="0"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E12F4"/>
    <w:multiLevelType w:val="singleLevel"/>
    <w:tmpl w:val="8CAE12F4"/>
    <w:lvl w:ilvl="0" w:tentative="0">
      <w:start w:val="4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abstractNum w:abstractNumId="1">
    <w:nsid w:val="C0BF106B"/>
    <w:multiLevelType w:val="singleLevel"/>
    <w:tmpl w:val="C0BF106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2F9E2CE1"/>
    <w:rsid w:val="00440EC0"/>
    <w:rsid w:val="0087658F"/>
    <w:rsid w:val="014D4677"/>
    <w:rsid w:val="029C49D4"/>
    <w:rsid w:val="03960557"/>
    <w:rsid w:val="06697598"/>
    <w:rsid w:val="08A47272"/>
    <w:rsid w:val="08E96A1D"/>
    <w:rsid w:val="0BFA4196"/>
    <w:rsid w:val="0D366907"/>
    <w:rsid w:val="0D811C85"/>
    <w:rsid w:val="12251EF7"/>
    <w:rsid w:val="14B14041"/>
    <w:rsid w:val="1BD25A4D"/>
    <w:rsid w:val="1D255113"/>
    <w:rsid w:val="23641596"/>
    <w:rsid w:val="25EF2191"/>
    <w:rsid w:val="294765D9"/>
    <w:rsid w:val="29A67FF7"/>
    <w:rsid w:val="2A0E2346"/>
    <w:rsid w:val="2C28127B"/>
    <w:rsid w:val="2D554067"/>
    <w:rsid w:val="2F9E2CE1"/>
    <w:rsid w:val="30BD0622"/>
    <w:rsid w:val="325B4596"/>
    <w:rsid w:val="32FF1798"/>
    <w:rsid w:val="33C1667B"/>
    <w:rsid w:val="39BB664E"/>
    <w:rsid w:val="3BB534B3"/>
    <w:rsid w:val="3C5842C4"/>
    <w:rsid w:val="3CB925E5"/>
    <w:rsid w:val="406B3BF6"/>
    <w:rsid w:val="40E939EC"/>
    <w:rsid w:val="426872D6"/>
    <w:rsid w:val="454755E4"/>
    <w:rsid w:val="46BD2CD2"/>
    <w:rsid w:val="4D7C2B08"/>
    <w:rsid w:val="4DB32BCC"/>
    <w:rsid w:val="4E6032F9"/>
    <w:rsid w:val="520220A0"/>
    <w:rsid w:val="5BE014E5"/>
    <w:rsid w:val="5CD30355"/>
    <w:rsid w:val="5CD66444"/>
    <w:rsid w:val="5D9E6F62"/>
    <w:rsid w:val="5F28567D"/>
    <w:rsid w:val="5FFB6C25"/>
    <w:rsid w:val="66D734E4"/>
    <w:rsid w:val="68F44821"/>
    <w:rsid w:val="6AEB0215"/>
    <w:rsid w:val="6B0A28AE"/>
    <w:rsid w:val="6C586E75"/>
    <w:rsid w:val="6CB22984"/>
    <w:rsid w:val="6D756E87"/>
    <w:rsid w:val="6D81110F"/>
    <w:rsid w:val="6F8A37EA"/>
    <w:rsid w:val="705621C1"/>
    <w:rsid w:val="72141031"/>
    <w:rsid w:val="74A0760B"/>
    <w:rsid w:val="778C51A8"/>
    <w:rsid w:val="7A747570"/>
    <w:rsid w:val="7B5B603A"/>
    <w:rsid w:val="7B6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after="120" w:line="377" w:lineRule="auto"/>
      <w:outlineLvl w:val="3"/>
    </w:pPr>
    <w:rPr>
      <w:rFonts w:ascii="Arial" w:hAnsi="Arial" w:eastAsia="黑体"/>
      <w:b/>
      <w:bCs/>
      <w:sz w:val="72"/>
      <w:szCs w:val="28"/>
      <w:lang w:bidi="he-IL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qFormat/>
    <w:uiPriority w:val="0"/>
    <w:pPr>
      <w:snapToGrid w:val="0"/>
      <w:spacing w:line="360" w:lineRule="auto"/>
      <w:ind w:firstLine="240" w:firstLineChars="100"/>
    </w:pPr>
    <w:rPr>
      <w:rFonts w:ascii="宋体"/>
      <w:sz w:val="24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hint="eastAsia" w:ascii="Arial" w:hAnsi="Arial"/>
    </w:rPr>
  </w:style>
  <w:style w:type="paragraph" w:styleId="7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next w:val="1"/>
    <w:unhideWhenUsed/>
    <w:qFormat/>
    <w:uiPriority w:val="99"/>
    <w:pPr>
      <w:spacing w:after="120"/>
      <w:ind w:left="420" w:leftChars="200" w:firstLine="420" w:firstLineChars="200"/>
    </w:pPr>
    <w:rPr>
      <w:sz w:val="21"/>
    </w:rPr>
  </w:style>
  <w:style w:type="paragraph" w:styleId="14">
    <w:name w:val="List Paragraph"/>
    <w:basedOn w:val="1"/>
    <w:qFormat/>
    <w:uiPriority w:val="99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4"/>
    </w:rPr>
  </w:style>
  <w:style w:type="paragraph" w:customStyle="1" w:styleId="15">
    <w:name w:val="样式1"/>
    <w:basedOn w:val="1"/>
    <w:next w:val="4"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paragraph" w:customStyle="1" w:styleId="1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307</Words>
  <Characters>1751</Characters>
  <Lines>14</Lines>
  <Paragraphs>4</Paragraphs>
  <TotalTime>71</TotalTime>
  <ScaleCrop>false</ScaleCrop>
  <LinksUpToDate>false</LinksUpToDate>
  <CharactersWithSpaces>2054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2023-08-01T00:03:00Z</dcterms:created>
  <dc:creator>Administrator</dc:creator>
  <cp:lastModifiedBy>Administrator</cp:lastModifiedBy>
  <cp:lastPrinted>2023-08-08T23:45:00Z</cp:lastPrinted>
  <dcterms:modified xsi:type="dcterms:W3CDTF">2023-08-10T03:01:27Z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E223B2B3B09F471E9130449EC35FF49C_13</vt:lpwstr>
  </property>
</Properties>
</file>