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污水处理设施系统改造项目采购需求</w:t>
      </w:r>
    </w:p>
    <w:p>
      <w:pPr>
        <w:rPr>
          <w:rFonts w:ascii="仿宋" w:hAnsi="仿宋" w:eastAsia="仿宋" w:cs="仿宋"/>
          <w:sz w:val="30"/>
          <w:szCs w:val="30"/>
        </w:rPr>
      </w:pPr>
      <w:bookmarkStart w:id="0" w:name="_Hlk517344795"/>
      <w:r>
        <w:rPr>
          <w:rFonts w:hint="eastAsia" w:ascii="仿宋" w:hAnsi="仿宋" w:eastAsia="仿宋" w:cs="仿宋"/>
          <w:sz w:val="30"/>
          <w:szCs w:val="30"/>
        </w:rPr>
        <w:t>一、项目概况</w:t>
      </w:r>
    </w:p>
    <w:p>
      <w:pPr>
        <w:pStyle w:val="10"/>
        <w:widowControl/>
        <w:shd w:val="clear" w:color="auto" w:fill="FFFFFF"/>
        <w:spacing w:before="0" w:beforeAutospacing="0" w:after="0" w:afterAutospacing="0" w:line="390" w:lineRule="atLeast"/>
        <w:ind w:firstLine="600"/>
        <w:rPr>
          <w:rFonts w:ascii="仿宋" w:hAnsi="仿宋" w:eastAsia="仿宋" w:cs="仿宋"/>
          <w:sz w:val="30"/>
          <w:szCs w:val="30"/>
        </w:rPr>
      </w:pPr>
      <w:r>
        <w:rPr>
          <w:rFonts w:hint="eastAsia" w:ascii="仿宋" w:hAnsi="仿宋" w:eastAsia="仿宋" w:cs="仿宋"/>
          <w:sz w:val="30"/>
          <w:szCs w:val="30"/>
        </w:rPr>
        <w:t>霍邱县第二人民医院污水处理站污水规模为2000吨/日，因污水处理设施</w:t>
      </w:r>
      <w:r>
        <w:rPr>
          <w:rFonts w:hint="eastAsia" w:ascii="仿宋" w:hAnsi="仿宋" w:eastAsia="仿宋" w:cs="仿宋"/>
          <w:kern w:val="2"/>
          <w:sz w:val="30"/>
          <w:szCs w:val="30"/>
        </w:rPr>
        <w:t>工艺及电控系统等毁坏，需更换及移机改</w:t>
      </w:r>
      <w:r>
        <w:rPr>
          <w:rFonts w:hint="eastAsia" w:ascii="仿宋" w:hAnsi="仿宋" w:eastAsia="仿宋" w:cs="仿宋"/>
          <w:sz w:val="30"/>
          <w:szCs w:val="30"/>
        </w:rPr>
        <w:t>造。项目改造完成后，保证污水设备正常运行，污水水质达标排放，并满足环保部门要求。</w:t>
      </w:r>
    </w:p>
    <w:p>
      <w:pPr>
        <w:rPr>
          <w:rFonts w:ascii="仿宋" w:hAnsi="仿宋" w:eastAsia="仿宋" w:cs="仿宋"/>
          <w:sz w:val="30"/>
          <w:szCs w:val="30"/>
        </w:rPr>
      </w:pPr>
      <w:r>
        <w:rPr>
          <w:rFonts w:hint="eastAsia" w:ascii="仿宋" w:hAnsi="仿宋" w:eastAsia="仿宋" w:cs="仿宋"/>
          <w:sz w:val="30"/>
          <w:szCs w:val="30"/>
        </w:rPr>
        <w:t>二、采购需求：</w:t>
      </w:r>
    </w:p>
    <w:p>
      <w:pPr>
        <w:spacing w:line="360" w:lineRule="auto"/>
        <w:jc w:val="left"/>
        <w:rPr>
          <w:sz w:val="24"/>
        </w:rPr>
      </w:pPr>
      <w:r>
        <w:rPr>
          <w:rFonts w:hint="eastAsia"/>
          <w:sz w:val="24"/>
        </w:rPr>
        <w:t>1、采购内容及设备参数：</w:t>
      </w:r>
    </w:p>
    <w:tbl>
      <w:tblPr>
        <w:tblStyle w:val="12"/>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987"/>
        <w:gridCol w:w="3108"/>
        <w:gridCol w:w="917"/>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78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b/>
                <w:sz w:val="24"/>
              </w:rPr>
            </w:pPr>
            <w:r>
              <w:rPr>
                <w:rFonts w:hint="eastAsia" w:ascii="宋体" w:hAnsi="宋体"/>
                <w:b/>
                <w:sz w:val="24"/>
              </w:rPr>
              <w:t>序号</w:t>
            </w:r>
          </w:p>
        </w:tc>
        <w:tc>
          <w:tcPr>
            <w:tcW w:w="198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b/>
                <w:sz w:val="24"/>
              </w:rPr>
            </w:pPr>
            <w:r>
              <w:rPr>
                <w:rFonts w:hint="eastAsia" w:ascii="宋体" w:hAnsi="宋体"/>
                <w:b/>
                <w:sz w:val="24"/>
              </w:rPr>
              <w:t>项目内容</w:t>
            </w:r>
          </w:p>
        </w:tc>
        <w:tc>
          <w:tcPr>
            <w:tcW w:w="310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b/>
                <w:sz w:val="24"/>
              </w:rPr>
            </w:pPr>
            <w:r>
              <w:rPr>
                <w:rFonts w:hint="eastAsia" w:ascii="宋体" w:hAnsi="宋体"/>
                <w:b/>
                <w:sz w:val="24"/>
              </w:rPr>
              <w:t>规格型号</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b/>
                <w:sz w:val="24"/>
              </w:rPr>
            </w:pPr>
            <w:r>
              <w:rPr>
                <w:rFonts w:hint="eastAsia" w:ascii="宋体" w:hAnsi="宋体"/>
                <w:b/>
                <w:sz w:val="24"/>
              </w:rPr>
              <w:t>数量</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b/>
                <w:sz w:val="24"/>
              </w:rPr>
            </w:pPr>
            <w:r>
              <w:rPr>
                <w:rFonts w:hint="eastAsia" w:ascii="宋体" w:hAnsi="宋体"/>
                <w:b/>
                <w:sz w:val="24"/>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exact"/>
          <w:jc w:val="center"/>
        </w:trPr>
        <w:tc>
          <w:tcPr>
            <w:tcW w:w="7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9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污泥回流泵</w:t>
            </w:r>
          </w:p>
        </w:tc>
        <w:tc>
          <w:tcPr>
            <w:tcW w:w="310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Times New Roman"/>
                <w:szCs w:val="21"/>
              </w:rPr>
            </w:pPr>
            <w:r>
              <w:rPr>
                <w:rFonts w:hint="eastAsia" w:ascii="宋体" w:hAnsi="宋体" w:eastAsia="宋体" w:cs="Times New Roman"/>
                <w:szCs w:val="21"/>
              </w:rPr>
              <w:t>★WQ25-10-1.5,3.3KW,自带切割性.根据现场实际情况改造更换并满足使用要求.</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2台</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Times New Roman"/>
                <w:szCs w:val="21"/>
              </w:rPr>
            </w:pPr>
            <w:r>
              <w:rPr>
                <w:rFonts w:hint="eastAsia" w:ascii="宋体" w:hAnsi="宋体" w:eastAsia="宋体" w:cs="Times New Roman"/>
                <w:szCs w:val="21"/>
              </w:rPr>
              <w:t>进越、大明、新界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exact"/>
          <w:jc w:val="center"/>
        </w:trPr>
        <w:tc>
          <w:tcPr>
            <w:tcW w:w="7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19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硝化液回流泵</w:t>
            </w:r>
          </w:p>
        </w:tc>
        <w:tc>
          <w:tcPr>
            <w:tcW w:w="310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Times New Roman"/>
                <w:szCs w:val="21"/>
              </w:rPr>
            </w:pPr>
            <w:r>
              <w:rPr>
                <w:rFonts w:hint="eastAsia" w:ascii="宋体" w:hAnsi="宋体" w:eastAsia="宋体" w:cs="Times New Roman"/>
                <w:szCs w:val="21"/>
              </w:rPr>
              <w:t>★WQ100-10-7.5,自带切割性.根据现场实际情况改造更换并满足使用要求.</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1台</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Times New Roman"/>
                <w:szCs w:val="21"/>
              </w:rPr>
            </w:pPr>
            <w:r>
              <w:rPr>
                <w:rFonts w:hint="eastAsia" w:ascii="宋体" w:hAnsi="宋体" w:eastAsia="宋体" w:cs="Times New Roman"/>
                <w:szCs w:val="21"/>
              </w:rPr>
              <w:t>进越、大明、新界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exact"/>
          <w:jc w:val="center"/>
        </w:trPr>
        <w:tc>
          <w:tcPr>
            <w:tcW w:w="7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19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机械隔膜加药</w:t>
            </w:r>
          </w:p>
          <w:p>
            <w:pPr>
              <w:jc w:val="center"/>
              <w:rPr>
                <w:rFonts w:ascii="宋体" w:hAnsi="宋体" w:eastAsia="宋体" w:cs="Times New Roman"/>
                <w:szCs w:val="21"/>
              </w:rPr>
            </w:pPr>
            <w:r>
              <w:rPr>
                <w:rFonts w:hint="eastAsia" w:ascii="宋体" w:hAnsi="宋体" w:eastAsia="宋体" w:cs="Times New Roman"/>
                <w:szCs w:val="21"/>
              </w:rPr>
              <w:t>计量泵</w:t>
            </w:r>
          </w:p>
        </w:tc>
        <w:tc>
          <w:tcPr>
            <w:tcW w:w="310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Times New Roman"/>
                <w:szCs w:val="21"/>
              </w:rPr>
            </w:pPr>
            <w:r>
              <w:rPr>
                <w:rFonts w:hint="eastAsia" w:ascii="宋体" w:hAnsi="宋体" w:eastAsia="宋体" w:cs="Times New Roman"/>
                <w:szCs w:val="21"/>
              </w:rPr>
              <w:t>脱氯加药设备和脱水机加药装置计量泵各一台，型号GMO500.根据现场实际情况改造更换并满足使用要求.</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2台</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Times New Roman"/>
                <w:szCs w:val="21"/>
              </w:rPr>
            </w:pPr>
            <w:r>
              <w:rPr>
                <w:rFonts w:hint="eastAsia" w:ascii="宋体" w:hAnsi="宋体" w:eastAsia="宋体" w:cs="Times New Roman"/>
                <w:szCs w:val="21"/>
              </w:rPr>
              <w:t>南方泵业或同等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exact"/>
          <w:jc w:val="center"/>
        </w:trPr>
        <w:tc>
          <w:tcPr>
            <w:tcW w:w="7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19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管道配件</w:t>
            </w:r>
          </w:p>
        </w:tc>
        <w:tc>
          <w:tcPr>
            <w:tcW w:w="310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Times New Roman"/>
                <w:szCs w:val="21"/>
              </w:rPr>
            </w:pPr>
            <w:r>
              <w:rPr>
                <w:rFonts w:hint="eastAsia" w:ascii="宋体" w:hAnsi="宋体" w:eastAsia="宋体" w:cs="Times New Roman"/>
                <w:szCs w:val="21"/>
              </w:rPr>
              <w:t>DN50/软管及PP材质,管道铺设,支架,法兰.</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1项</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Times New Roman"/>
                <w:szCs w:val="21"/>
              </w:rPr>
            </w:pPr>
            <w:r>
              <w:rPr>
                <w:rFonts w:hint="eastAsia" w:ascii="宋体" w:hAnsi="宋体" w:eastAsia="宋体" w:cs="Times New Roman"/>
                <w:szCs w:val="21"/>
              </w:rPr>
              <w:t>满足现场实际要求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exact"/>
          <w:jc w:val="center"/>
        </w:trPr>
        <w:tc>
          <w:tcPr>
            <w:tcW w:w="7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19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加药桶搅拌泵</w:t>
            </w:r>
          </w:p>
        </w:tc>
        <w:tc>
          <w:tcPr>
            <w:tcW w:w="310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Times New Roman"/>
                <w:szCs w:val="21"/>
              </w:rPr>
            </w:pPr>
            <w:r>
              <w:rPr>
                <w:rFonts w:hint="eastAsia" w:ascii="宋体" w:hAnsi="宋体" w:eastAsia="宋体" w:cs="Times New Roman"/>
                <w:szCs w:val="21"/>
              </w:rPr>
              <w:t>1000L-380V/0.75KV,</w:t>
            </w:r>
          </w:p>
          <w:p>
            <w:pPr>
              <w:rPr>
                <w:rFonts w:ascii="宋体" w:hAnsi="宋体" w:eastAsia="宋体" w:cs="Times New Roman"/>
                <w:szCs w:val="21"/>
              </w:rPr>
            </w:pPr>
            <w:r>
              <w:rPr>
                <w:rFonts w:hint="eastAsia" w:ascii="宋体" w:hAnsi="宋体" w:eastAsia="宋体" w:cs="Times New Roman"/>
                <w:szCs w:val="21"/>
              </w:rPr>
              <w:t>搅拌杆/叶轮09.</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4台</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Times New Roman"/>
                <w:szCs w:val="21"/>
              </w:rPr>
            </w:pPr>
            <w:r>
              <w:rPr>
                <w:rFonts w:hint="eastAsia" w:ascii="宋体" w:hAnsi="宋体" w:eastAsia="宋体" w:cs="Times New Roman"/>
                <w:szCs w:val="21"/>
              </w:rPr>
              <w:t>满足现场实际要求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exact"/>
          <w:jc w:val="center"/>
        </w:trPr>
        <w:tc>
          <w:tcPr>
            <w:tcW w:w="7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6</w:t>
            </w:r>
          </w:p>
        </w:tc>
        <w:tc>
          <w:tcPr>
            <w:tcW w:w="19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变频器</w:t>
            </w:r>
          </w:p>
        </w:tc>
        <w:tc>
          <w:tcPr>
            <w:tcW w:w="310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Times New Roman"/>
                <w:szCs w:val="21"/>
              </w:rPr>
            </w:pPr>
            <w:r>
              <w:rPr>
                <w:rFonts w:hint="eastAsia" w:ascii="宋体" w:hAnsi="宋体" w:eastAsia="宋体" w:cs="Times New Roman"/>
                <w:szCs w:val="21"/>
              </w:rPr>
              <w:t>★49.4kva/75A/60KVA/90A,维修,根据现场实际情况改造更换并满足使用要求.</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1台</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Times New Roman"/>
                <w:szCs w:val="21"/>
              </w:rPr>
            </w:pPr>
            <w:r>
              <w:rPr>
                <w:rFonts w:hint="eastAsia" w:ascii="宋体" w:hAnsi="宋体" w:eastAsia="宋体" w:cs="Times New Roman"/>
                <w:szCs w:val="21"/>
              </w:rPr>
              <w:t>深圳台达机电（需与现用风机匹配）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exact"/>
          <w:jc w:val="center"/>
        </w:trPr>
        <w:tc>
          <w:tcPr>
            <w:tcW w:w="7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7</w:t>
            </w:r>
          </w:p>
        </w:tc>
        <w:tc>
          <w:tcPr>
            <w:tcW w:w="19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控制柜</w:t>
            </w:r>
          </w:p>
        </w:tc>
        <w:tc>
          <w:tcPr>
            <w:tcW w:w="310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Times New Roman"/>
                <w:szCs w:val="21"/>
              </w:rPr>
            </w:pPr>
            <w:r>
              <w:rPr>
                <w:rFonts w:hint="eastAsia" w:ascii="宋体" w:hAnsi="宋体" w:eastAsia="宋体" w:cs="Times New Roman"/>
                <w:szCs w:val="21"/>
              </w:rPr>
              <w:t>1、1800*700*400;</w:t>
            </w:r>
          </w:p>
          <w:p>
            <w:pPr>
              <w:rPr>
                <w:rFonts w:ascii="宋体" w:hAnsi="宋体" w:eastAsia="宋体" w:cs="Times New Roman"/>
                <w:szCs w:val="21"/>
              </w:rPr>
            </w:pPr>
            <w:r>
              <w:rPr>
                <w:rFonts w:hint="eastAsia" w:ascii="宋体" w:hAnsi="宋体" w:eastAsia="宋体" w:cs="Times New Roman"/>
                <w:szCs w:val="21"/>
              </w:rPr>
              <w:t>2、详见电气系统和污水站控制系统要求;</w:t>
            </w:r>
          </w:p>
          <w:p>
            <w:pPr>
              <w:rPr>
                <w:rFonts w:ascii="宋体" w:hAnsi="宋体" w:eastAsia="宋体" w:cs="Times New Roman"/>
                <w:szCs w:val="21"/>
              </w:rPr>
            </w:pPr>
            <w:r>
              <w:rPr>
                <w:rFonts w:hint="eastAsia" w:ascii="宋体" w:hAnsi="宋体" w:eastAsia="宋体" w:cs="Times New Roman"/>
                <w:szCs w:val="21"/>
              </w:rPr>
              <w:t>3、结合现场及电气图纸定制.</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1套</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Times New Roman"/>
                <w:szCs w:val="21"/>
              </w:rPr>
            </w:pPr>
            <w:r>
              <w:rPr>
                <w:rFonts w:hint="eastAsia" w:ascii="宋体" w:hAnsi="宋体" w:eastAsia="宋体" w:cs="Times New Roman"/>
                <w:szCs w:val="21"/>
              </w:rPr>
              <w:t>满足现场实际要求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exact"/>
          <w:jc w:val="center"/>
        </w:trPr>
        <w:tc>
          <w:tcPr>
            <w:tcW w:w="7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8</w:t>
            </w:r>
          </w:p>
        </w:tc>
        <w:tc>
          <w:tcPr>
            <w:tcW w:w="19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电源柜移机</w:t>
            </w:r>
          </w:p>
        </w:tc>
        <w:tc>
          <w:tcPr>
            <w:tcW w:w="310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Times New Roman"/>
                <w:szCs w:val="21"/>
              </w:rPr>
            </w:pPr>
            <w:r>
              <w:rPr>
                <w:rFonts w:hint="eastAsia" w:ascii="宋体" w:hAnsi="宋体" w:eastAsia="宋体" w:cs="Times New Roman"/>
                <w:szCs w:val="21"/>
              </w:rPr>
              <w:t>电源柜和2台变频器拆卸;电缆及桥架拆除;所有电缆及整柜移至二楼.</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1项</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Times New Roman"/>
                <w:szCs w:val="21"/>
              </w:rPr>
            </w:pPr>
            <w:r>
              <w:rPr>
                <w:rFonts w:hint="eastAsia" w:ascii="宋体" w:hAnsi="宋体" w:eastAsia="宋体" w:cs="Times New Roman"/>
                <w:szCs w:val="21"/>
              </w:rPr>
              <w:t>满足现场实际要求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exact"/>
          <w:jc w:val="center"/>
        </w:trPr>
        <w:tc>
          <w:tcPr>
            <w:tcW w:w="7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9</w:t>
            </w:r>
          </w:p>
        </w:tc>
        <w:tc>
          <w:tcPr>
            <w:tcW w:w="19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电缆桥架及打孔</w:t>
            </w:r>
          </w:p>
        </w:tc>
        <w:tc>
          <w:tcPr>
            <w:tcW w:w="310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Times New Roman"/>
                <w:szCs w:val="21"/>
              </w:rPr>
            </w:pPr>
            <w:r>
              <w:rPr>
                <w:rFonts w:hint="eastAsia" w:ascii="宋体" w:hAnsi="宋体" w:eastAsia="宋体" w:cs="Times New Roman"/>
                <w:szCs w:val="21"/>
              </w:rPr>
              <w:t>墙体打孔、电控柜进线桥架、槽钢、角铁和所有电缆布线固定.</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1项</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Times New Roman"/>
                <w:szCs w:val="21"/>
              </w:rPr>
            </w:pPr>
            <w:r>
              <w:rPr>
                <w:rFonts w:hint="eastAsia" w:ascii="宋体" w:hAnsi="宋体" w:eastAsia="宋体" w:cs="Times New Roman"/>
                <w:szCs w:val="21"/>
              </w:rPr>
              <w:t>满足现场实际要求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exact"/>
          <w:jc w:val="center"/>
        </w:trPr>
        <w:tc>
          <w:tcPr>
            <w:tcW w:w="7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10</w:t>
            </w:r>
          </w:p>
        </w:tc>
        <w:tc>
          <w:tcPr>
            <w:tcW w:w="19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安装调试工程</w:t>
            </w:r>
          </w:p>
        </w:tc>
        <w:tc>
          <w:tcPr>
            <w:tcW w:w="310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Times New Roman"/>
                <w:szCs w:val="21"/>
              </w:rPr>
            </w:pPr>
            <w:r>
              <w:rPr>
                <w:rFonts w:hint="eastAsia" w:ascii="宋体" w:hAnsi="宋体" w:eastAsia="宋体" w:cs="Times New Roman"/>
                <w:szCs w:val="21"/>
              </w:rPr>
              <w:t>正泰元件、信号控制、时间控制和传感器;电源柜及控制柜整机安装;电气系统电力联动调试;污水设备控制系统调试.</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Times New Roman"/>
                <w:szCs w:val="21"/>
              </w:rPr>
            </w:pPr>
            <w:r>
              <w:rPr>
                <w:rFonts w:hint="eastAsia" w:ascii="宋体" w:hAnsi="宋体" w:eastAsia="宋体" w:cs="Times New Roman"/>
                <w:szCs w:val="21"/>
              </w:rPr>
              <w:t>1项</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Times New Roman"/>
                <w:szCs w:val="21"/>
              </w:rPr>
            </w:pPr>
            <w:r>
              <w:rPr>
                <w:rFonts w:hint="eastAsia" w:ascii="宋体" w:hAnsi="宋体" w:eastAsia="宋体" w:cs="Times New Roman"/>
                <w:szCs w:val="21"/>
              </w:rPr>
              <w:t>满足现场实际要求</w:t>
            </w:r>
          </w:p>
        </w:tc>
      </w:tr>
    </w:tbl>
    <w:p>
      <w:pPr>
        <w:pStyle w:val="10"/>
        <w:widowControl/>
        <w:shd w:val="clear" w:color="auto" w:fill="FFFFFF"/>
        <w:spacing w:before="0" w:beforeAutospacing="0" w:after="0" w:afterAutospacing="0" w:line="390" w:lineRule="atLeast"/>
        <w:rPr>
          <w:rFonts w:ascii="宋体" w:hAnsi="宋体" w:eastAsia="宋体"/>
          <w:kern w:val="2"/>
          <w:sz w:val="21"/>
          <w:szCs w:val="21"/>
        </w:rPr>
      </w:pPr>
    </w:p>
    <w:p>
      <w:pPr>
        <w:numPr>
          <w:ilvl w:val="0"/>
          <w:numId w:val="1"/>
        </w:numPr>
        <w:spacing w:line="360" w:lineRule="auto"/>
        <w:jc w:val="left"/>
        <w:rPr>
          <w:sz w:val="24"/>
        </w:rPr>
      </w:pPr>
      <w:r>
        <w:rPr>
          <w:rFonts w:hint="eastAsia"/>
          <w:sz w:val="24"/>
        </w:rPr>
        <w:t>供应商须自行勘查现场，并对现场情况充分了解后参与，设备需达到半自动化控制，中标后供应商不得以对现场不了解或清单内容没明确等理由，导致增加的额外费用须供应商自行承担。</w:t>
      </w:r>
    </w:p>
    <w:p>
      <w:pPr>
        <w:pStyle w:val="11"/>
        <w:ind w:left="0" w:leftChars="0" w:firstLine="0" w:firstLineChars="0"/>
      </w:pPr>
    </w:p>
    <w:p>
      <w:pPr>
        <w:spacing w:line="360" w:lineRule="auto"/>
        <w:rPr>
          <w:rFonts w:ascii="仿宋" w:hAnsi="仿宋" w:eastAsia="仿宋" w:cs="仿宋"/>
          <w:sz w:val="30"/>
          <w:szCs w:val="30"/>
        </w:rPr>
      </w:pPr>
      <w:r>
        <w:rPr>
          <w:rFonts w:hint="eastAsia" w:ascii="仿宋" w:hAnsi="仿宋" w:eastAsia="仿宋" w:cs="仿宋"/>
          <w:sz w:val="30"/>
          <w:szCs w:val="30"/>
        </w:rPr>
        <w:t>三、预算价：83885</w:t>
      </w:r>
      <w:bookmarkStart w:id="1" w:name="_GoBack"/>
      <w:bookmarkEnd w:id="1"/>
      <w:r>
        <w:rPr>
          <w:rFonts w:hint="eastAsia" w:ascii="仿宋" w:hAnsi="仿宋" w:eastAsia="仿宋" w:cs="仿宋"/>
          <w:sz w:val="30"/>
          <w:szCs w:val="30"/>
        </w:rPr>
        <w:t>.00元。</w:t>
      </w:r>
    </w:p>
    <w:p>
      <w:pPr>
        <w:numPr>
          <w:ilvl w:val="0"/>
          <w:numId w:val="2"/>
        </w:numPr>
        <w:rPr>
          <w:rFonts w:ascii="仿宋" w:hAnsi="仿宋" w:eastAsia="仿宋" w:cs="仿宋"/>
          <w:sz w:val="30"/>
          <w:szCs w:val="30"/>
        </w:rPr>
      </w:pPr>
      <w:r>
        <w:rPr>
          <w:rFonts w:hint="eastAsia" w:ascii="仿宋" w:hAnsi="仿宋" w:eastAsia="仿宋" w:cs="仿宋"/>
          <w:sz w:val="30"/>
          <w:szCs w:val="30"/>
        </w:rPr>
        <w:t>供货周期：合同签订后20个日历天内完成项目改造内容。</w:t>
      </w:r>
    </w:p>
    <w:p>
      <w:pPr>
        <w:numPr>
          <w:ilvl w:val="0"/>
          <w:numId w:val="2"/>
        </w:numPr>
      </w:pPr>
      <w:r>
        <w:rPr>
          <w:rFonts w:hint="eastAsia" w:ascii="仿宋" w:hAnsi="仿宋" w:eastAsia="仿宋" w:cs="仿宋"/>
          <w:sz w:val="30"/>
          <w:szCs w:val="30"/>
        </w:rPr>
        <w:t>付款方式：设备安装调试结束经验收合格后试运行一个月且水质达到环保要求后付款总合同额的90%，剩余10%质保期满后一次性无息付清。</w:t>
      </w:r>
    </w:p>
    <w:p>
      <w:pPr>
        <w:numPr>
          <w:ilvl w:val="0"/>
          <w:numId w:val="2"/>
        </w:numPr>
        <w:rPr>
          <w:rFonts w:ascii="仿宋" w:hAnsi="仿宋" w:eastAsia="仿宋" w:cs="仿宋"/>
          <w:sz w:val="30"/>
          <w:szCs w:val="30"/>
        </w:rPr>
      </w:pPr>
      <w:r>
        <w:rPr>
          <w:rFonts w:hint="eastAsia" w:ascii="仿宋" w:hAnsi="仿宋" w:eastAsia="仿宋" w:cs="仿宋"/>
          <w:sz w:val="30"/>
          <w:szCs w:val="30"/>
        </w:rPr>
        <w:t>评标方法：本次采购采用综合评分法</w:t>
      </w:r>
    </w:p>
    <w:p>
      <w:pPr>
        <w:pStyle w:val="11"/>
        <w:ind w:firstLine="600"/>
        <w:rPr>
          <w:rFonts w:ascii="仿宋" w:hAnsi="仿宋" w:eastAsia="仿宋" w:cs="仿宋"/>
          <w:sz w:val="30"/>
          <w:szCs w:val="30"/>
        </w:rPr>
      </w:pPr>
    </w:p>
    <w:p>
      <w:pPr>
        <w:rPr>
          <w:rFonts w:ascii="仿宋" w:hAnsi="仿宋" w:eastAsia="仿宋" w:cs="仿宋"/>
          <w:sz w:val="30"/>
          <w:szCs w:val="30"/>
        </w:rPr>
      </w:pPr>
    </w:p>
    <w:p>
      <w:pPr>
        <w:pStyle w:val="11"/>
        <w:ind w:firstLine="600"/>
        <w:rPr>
          <w:rFonts w:ascii="仿宋" w:hAnsi="仿宋" w:eastAsia="仿宋" w:cs="仿宋"/>
          <w:sz w:val="30"/>
          <w:szCs w:val="30"/>
        </w:rPr>
      </w:pPr>
    </w:p>
    <w:p>
      <w:pPr>
        <w:rPr>
          <w:rFonts w:ascii="仿宋" w:hAnsi="仿宋" w:eastAsia="仿宋" w:cs="仿宋"/>
          <w:sz w:val="30"/>
          <w:szCs w:val="30"/>
        </w:rPr>
      </w:pPr>
    </w:p>
    <w:p>
      <w:pPr>
        <w:pStyle w:val="11"/>
        <w:ind w:firstLine="600"/>
        <w:rPr>
          <w:rFonts w:ascii="仿宋" w:hAnsi="仿宋" w:eastAsia="仿宋" w:cs="仿宋"/>
          <w:sz w:val="30"/>
          <w:szCs w:val="30"/>
        </w:rPr>
      </w:pPr>
    </w:p>
    <w:p>
      <w:pPr>
        <w:rPr>
          <w:rFonts w:ascii="仿宋" w:hAnsi="仿宋" w:eastAsia="仿宋" w:cs="仿宋"/>
          <w:sz w:val="30"/>
          <w:szCs w:val="30"/>
        </w:rPr>
      </w:pPr>
    </w:p>
    <w:p>
      <w:pPr>
        <w:pStyle w:val="11"/>
        <w:ind w:firstLine="600"/>
        <w:rPr>
          <w:rFonts w:ascii="仿宋" w:hAnsi="仿宋" w:eastAsia="仿宋" w:cs="仿宋"/>
          <w:sz w:val="30"/>
          <w:szCs w:val="30"/>
        </w:rPr>
      </w:pPr>
    </w:p>
    <w:p/>
    <w:bookmarkEnd w:id="0"/>
    <w:p>
      <w:pPr>
        <w:pStyle w:val="2"/>
        <w:keepNext/>
        <w:keepLines/>
        <w:widowControl w:val="0"/>
        <w:tabs>
          <w:tab w:val="left" w:pos="0"/>
        </w:tabs>
        <w:spacing w:before="0" w:after="0" w:line="360" w:lineRule="auto"/>
        <w:jc w:val="center"/>
        <w:rPr>
          <w:rFonts w:ascii="黑体" w:hAnsi="黑体" w:eastAsia="黑体" w:cs="黑体"/>
          <w:color w:val="000000"/>
          <w:szCs w:val="32"/>
        </w:rPr>
      </w:pPr>
      <w:r>
        <w:rPr>
          <w:rFonts w:hint="eastAsia" w:ascii="黑体" w:hAnsi="黑体" w:eastAsia="黑体" w:cs="黑体"/>
          <w:color w:val="000000"/>
          <w:szCs w:val="32"/>
        </w:rPr>
        <w:t>评标办法</w:t>
      </w:r>
    </w:p>
    <w:p>
      <w:pPr>
        <w:pStyle w:val="2"/>
        <w:keepNext/>
        <w:keepLines/>
        <w:widowControl w:val="0"/>
        <w:tabs>
          <w:tab w:val="left" w:pos="0"/>
        </w:tabs>
        <w:spacing w:before="0" w:after="0" w:line="360" w:lineRule="auto"/>
        <w:jc w:val="left"/>
        <w:rPr>
          <w:szCs w:val="32"/>
        </w:rPr>
      </w:pPr>
      <w:r>
        <w:rPr>
          <w:rFonts w:hint="eastAsia" w:ascii="宋体" w:hAnsi="宋体"/>
          <w:sz w:val="24"/>
        </w:rPr>
        <w:t>本次评标采用综合评分法,总分为100分,其中价格分</w:t>
      </w:r>
      <w:r>
        <w:rPr>
          <w:rFonts w:hint="eastAsia" w:ascii="宋体" w:hAnsi="宋体"/>
          <w:sz w:val="24"/>
          <w:u w:val="single"/>
        </w:rPr>
        <w:t xml:space="preserve"> 50 </w:t>
      </w:r>
      <w:r>
        <w:rPr>
          <w:rFonts w:hint="eastAsia" w:ascii="宋体" w:hAnsi="宋体"/>
          <w:sz w:val="24"/>
        </w:rPr>
        <w:t>分、技术分</w:t>
      </w:r>
      <w:r>
        <w:rPr>
          <w:rFonts w:hint="eastAsia" w:ascii="宋体" w:hAnsi="宋体"/>
          <w:sz w:val="24"/>
          <w:u w:val="single"/>
        </w:rPr>
        <w:t xml:space="preserve"> 50 </w:t>
      </w:r>
      <w:r>
        <w:rPr>
          <w:rFonts w:hint="eastAsia" w:ascii="宋体" w:hAnsi="宋体"/>
          <w:sz w:val="24"/>
        </w:rPr>
        <w:t>分。合格投标人的综合得分为所有评委评分的价格评分与技术评分总和的算术平均值,中标候选资格按综合得分由高到低顺序排列；得分相同的,投标报价低者排名优先；投标报价仍相同的,技术分高者排名优先；仍相同的,由采购人代表在监管部门监督下抽签确定排名。排名第一的投标人为第一中标候选人,排名第二的投标人为第二中标候选人,排名第三的投标人为第三中标候选人。评分过程四舍五入,并保留小数2位。</w:t>
      </w:r>
    </w:p>
    <w:p>
      <w:pPr>
        <w:pStyle w:val="3"/>
        <w:spacing w:before="0" w:after="0" w:line="360" w:lineRule="auto"/>
        <w:ind w:firstLine="0"/>
        <w:rPr>
          <w:sz w:val="28"/>
          <w:szCs w:val="28"/>
        </w:rPr>
      </w:pPr>
      <w:r>
        <w:rPr>
          <w:rFonts w:hint="eastAsia" w:ascii="宋体" w:hAnsi="宋体" w:eastAsia="宋体"/>
          <w:sz w:val="24"/>
          <w:szCs w:val="24"/>
        </w:rPr>
        <w:t>(二)评分细则</w:t>
      </w:r>
    </w:p>
    <w:p/>
    <w:tbl>
      <w:tblPr>
        <w:tblStyle w:val="12"/>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225"/>
        <w:gridCol w:w="986"/>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5" w:type="dxa"/>
            <w:gridSpan w:val="2"/>
            <w:vAlign w:val="center"/>
          </w:tcPr>
          <w:p>
            <w:pPr>
              <w:spacing w:line="300" w:lineRule="exact"/>
              <w:jc w:val="center"/>
              <w:rPr>
                <w:rFonts w:ascii="宋体" w:hAnsi="宋体" w:cs="宋体"/>
                <w:b/>
                <w:sz w:val="24"/>
              </w:rPr>
            </w:pPr>
            <w:r>
              <w:rPr>
                <w:rFonts w:hint="eastAsia" w:ascii="宋体" w:hAnsi="宋体" w:cs="宋体"/>
                <w:b/>
                <w:sz w:val="24"/>
              </w:rPr>
              <w:t>评审内容</w:t>
            </w:r>
          </w:p>
        </w:tc>
        <w:tc>
          <w:tcPr>
            <w:tcW w:w="986" w:type="dxa"/>
            <w:vAlign w:val="center"/>
          </w:tcPr>
          <w:p>
            <w:pPr>
              <w:spacing w:line="300" w:lineRule="exact"/>
              <w:jc w:val="center"/>
              <w:rPr>
                <w:rFonts w:ascii="宋体" w:hAnsi="宋体" w:eastAsia="宋体" w:cs="宋体"/>
                <w:b/>
                <w:sz w:val="24"/>
              </w:rPr>
            </w:pPr>
            <w:r>
              <w:rPr>
                <w:rFonts w:hint="eastAsia" w:ascii="宋体" w:hAnsi="宋体" w:cs="宋体"/>
                <w:b/>
                <w:sz w:val="24"/>
              </w:rPr>
              <w:t>满分值</w:t>
            </w:r>
          </w:p>
        </w:tc>
        <w:tc>
          <w:tcPr>
            <w:tcW w:w="5898" w:type="dxa"/>
            <w:vAlign w:val="center"/>
          </w:tcPr>
          <w:p>
            <w:pPr>
              <w:spacing w:line="300" w:lineRule="exact"/>
              <w:jc w:val="center"/>
              <w:rPr>
                <w:rFonts w:ascii="宋体" w:hAnsi="宋体" w:cs="宋体"/>
                <w:b/>
                <w:sz w:val="24"/>
              </w:rPr>
            </w:pPr>
            <w:r>
              <w:rPr>
                <w:rFonts w:hint="eastAsia" w:ascii="宋体" w:hAnsi="宋体" w:cs="宋体"/>
                <w:b/>
                <w:sz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Align w:val="center"/>
          </w:tcPr>
          <w:p>
            <w:pPr>
              <w:spacing w:line="300" w:lineRule="exact"/>
              <w:jc w:val="center"/>
              <w:rPr>
                <w:rFonts w:ascii="宋体" w:hAnsi="宋体" w:eastAsia="宋体" w:cs="宋体"/>
                <w:b/>
                <w:sz w:val="24"/>
              </w:rPr>
            </w:pPr>
            <w:r>
              <w:rPr>
                <w:rFonts w:hint="eastAsia" w:ascii="宋体" w:hAnsi="宋体" w:eastAsia="宋体" w:cs="宋体"/>
                <w:sz w:val="24"/>
              </w:rPr>
              <w:t>价格分(50分)</w:t>
            </w:r>
          </w:p>
        </w:tc>
        <w:tc>
          <w:tcPr>
            <w:tcW w:w="1225" w:type="dxa"/>
            <w:vAlign w:val="center"/>
          </w:tcPr>
          <w:p>
            <w:pPr>
              <w:spacing w:line="300" w:lineRule="exact"/>
              <w:jc w:val="center"/>
              <w:rPr>
                <w:rFonts w:ascii="宋体" w:hAnsi="宋体" w:eastAsia="宋体" w:cs="宋体"/>
                <w:b/>
                <w:sz w:val="24"/>
              </w:rPr>
            </w:pPr>
            <w:r>
              <w:rPr>
                <w:rFonts w:hint="eastAsia" w:ascii="宋体" w:hAnsi="宋体" w:eastAsia="宋体" w:cs="宋体"/>
                <w:sz w:val="24"/>
              </w:rPr>
              <w:t>投标价格</w:t>
            </w:r>
          </w:p>
        </w:tc>
        <w:tc>
          <w:tcPr>
            <w:tcW w:w="986" w:type="dxa"/>
            <w:vAlign w:val="center"/>
          </w:tcPr>
          <w:p>
            <w:pPr>
              <w:spacing w:line="300" w:lineRule="exact"/>
              <w:jc w:val="center"/>
              <w:rPr>
                <w:rFonts w:ascii="宋体" w:hAnsi="宋体" w:eastAsia="宋体" w:cs="宋体"/>
                <w:b/>
                <w:sz w:val="24"/>
              </w:rPr>
            </w:pPr>
            <w:r>
              <w:rPr>
                <w:rFonts w:hint="eastAsia" w:ascii="宋体" w:hAnsi="宋体" w:eastAsia="宋体" w:cs="宋体"/>
                <w:sz w:val="24"/>
              </w:rPr>
              <w:t>50分</w:t>
            </w:r>
          </w:p>
        </w:tc>
        <w:tc>
          <w:tcPr>
            <w:tcW w:w="5898" w:type="dxa"/>
            <w:vAlign w:val="center"/>
          </w:tcPr>
          <w:p>
            <w:pPr>
              <w:spacing w:line="360" w:lineRule="exact"/>
              <w:rPr>
                <w:rFonts w:ascii="宋体" w:hAnsi="宋体" w:eastAsia="宋体" w:cs="宋体"/>
                <w:b/>
                <w:sz w:val="24"/>
              </w:rPr>
            </w:pPr>
            <w:r>
              <w:rPr>
                <w:rFonts w:hint="eastAsia" w:ascii="宋体" w:hAnsi="宋体" w:eastAsia="宋体" w:cs="宋体"/>
                <w:sz w:val="24"/>
              </w:rPr>
              <w:t>价格分统一采用低价优先法,即满足招标文件要求且投标价格最低的投标报价为评标基准价,其价格分为满分50分。其他投标供应商的价格为统一按照下列公式计算：投标报价得分=(评标基准价/投标报价)*50。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Merge w:val="restart"/>
            <w:vAlign w:val="center"/>
          </w:tcPr>
          <w:p>
            <w:pPr>
              <w:autoSpaceDN w:val="0"/>
              <w:spacing w:line="300" w:lineRule="exact"/>
              <w:jc w:val="center"/>
              <w:textAlignment w:val="center"/>
              <w:rPr>
                <w:rFonts w:ascii="宋体" w:hAnsi="宋体" w:eastAsia="宋体" w:cs="宋体"/>
                <w:sz w:val="24"/>
              </w:rPr>
            </w:pPr>
            <w:r>
              <w:rPr>
                <w:rFonts w:hint="eastAsia" w:ascii="宋体" w:hAnsi="宋体" w:eastAsia="宋体" w:cs="宋体"/>
                <w:sz w:val="24"/>
              </w:rPr>
              <w:t>技术分(50分)</w:t>
            </w:r>
          </w:p>
        </w:tc>
        <w:tc>
          <w:tcPr>
            <w:tcW w:w="1225" w:type="dxa"/>
            <w:vAlign w:val="center"/>
          </w:tcPr>
          <w:p>
            <w:pPr>
              <w:autoSpaceDN w:val="0"/>
              <w:spacing w:line="300" w:lineRule="exact"/>
              <w:jc w:val="center"/>
              <w:textAlignment w:val="center"/>
              <w:rPr>
                <w:rFonts w:ascii="宋体" w:hAnsi="宋体" w:eastAsia="宋体" w:cs="宋体"/>
                <w:sz w:val="24"/>
              </w:rPr>
            </w:pPr>
            <w:r>
              <w:rPr>
                <w:rFonts w:hint="eastAsia" w:ascii="宋体" w:hAnsi="宋体" w:eastAsia="宋体" w:cs="宋体"/>
                <w:sz w:val="24"/>
              </w:rPr>
              <w:t>技术参数响应情况</w:t>
            </w:r>
          </w:p>
        </w:tc>
        <w:tc>
          <w:tcPr>
            <w:tcW w:w="986" w:type="dxa"/>
            <w:vAlign w:val="center"/>
          </w:tcPr>
          <w:p>
            <w:pPr>
              <w:spacing w:line="300" w:lineRule="exact"/>
              <w:jc w:val="center"/>
              <w:rPr>
                <w:rFonts w:ascii="宋体" w:hAnsi="宋体" w:eastAsia="宋体" w:cs="宋体"/>
                <w:sz w:val="24"/>
              </w:rPr>
            </w:pPr>
            <w:r>
              <w:rPr>
                <w:rFonts w:hint="eastAsia" w:ascii="宋体" w:hAnsi="宋体" w:eastAsia="宋体" w:cs="宋体"/>
                <w:sz w:val="24"/>
              </w:rPr>
              <w:t>20分</w:t>
            </w:r>
          </w:p>
        </w:tc>
        <w:tc>
          <w:tcPr>
            <w:tcW w:w="5898" w:type="dxa"/>
            <w:vAlign w:val="center"/>
          </w:tcPr>
          <w:p>
            <w:pPr>
              <w:autoSpaceDE w:val="0"/>
              <w:autoSpaceDN w:val="0"/>
              <w:adjustRightInd w:val="0"/>
              <w:spacing w:line="360" w:lineRule="exact"/>
              <w:jc w:val="left"/>
              <w:rPr>
                <w:rFonts w:ascii="宋体" w:hAnsi="宋体" w:eastAsia="宋体" w:cs="宋体"/>
                <w:sz w:val="24"/>
              </w:rPr>
            </w:pPr>
            <w:r>
              <w:rPr>
                <w:rFonts w:hint="eastAsia" w:ascii="宋体" w:hAnsi="宋体" w:eastAsia="宋体" w:cs="宋体"/>
                <w:color w:val="333333"/>
                <w:sz w:val="24"/>
                <w:shd w:val="clear" w:color="auto" w:fill="FFFFFF"/>
              </w:rPr>
              <w:t>技术响应性：技术条款要求的整体响应情况进行综合评价，本项满分为 20分；再根据投标产品技术参数对招标文件中技术条款要求的整体响应情况进行综合评价，★参数不满足每项扣5分，非星号参数不满足每项扣2分，扣完为止（★参数及正偏离参数在投标文件中需提供相应支撑材料（包括但不限于产品彩页，检测报告，技术白皮书等），如不提供相应支撑材料则评标时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Merge w:val="continue"/>
            <w:vAlign w:val="center"/>
          </w:tcPr>
          <w:p>
            <w:pPr>
              <w:autoSpaceDN w:val="0"/>
              <w:spacing w:line="360" w:lineRule="auto"/>
              <w:jc w:val="center"/>
              <w:textAlignment w:val="center"/>
              <w:rPr>
                <w:rFonts w:ascii="宋体" w:hAnsi="宋体" w:eastAsia="宋体" w:cs="宋体"/>
                <w:sz w:val="24"/>
              </w:rPr>
            </w:pPr>
          </w:p>
        </w:tc>
        <w:tc>
          <w:tcPr>
            <w:tcW w:w="1225" w:type="dxa"/>
            <w:vAlign w:val="center"/>
          </w:tcPr>
          <w:p>
            <w:pPr>
              <w:autoSpaceDN w:val="0"/>
              <w:spacing w:line="300" w:lineRule="exact"/>
              <w:jc w:val="center"/>
              <w:textAlignment w:val="center"/>
              <w:rPr>
                <w:rFonts w:ascii="宋体" w:hAnsi="宋体" w:eastAsia="宋体" w:cs="宋体"/>
                <w:sz w:val="24"/>
              </w:rPr>
            </w:pPr>
            <w:r>
              <w:rPr>
                <w:rFonts w:hint="eastAsia" w:ascii="宋体" w:hAnsi="宋体" w:eastAsia="宋体" w:cs="宋体"/>
                <w:sz w:val="24"/>
              </w:rPr>
              <w:t>企业荣誉</w:t>
            </w:r>
          </w:p>
        </w:tc>
        <w:tc>
          <w:tcPr>
            <w:tcW w:w="986" w:type="dxa"/>
            <w:vAlign w:val="center"/>
          </w:tcPr>
          <w:p>
            <w:pPr>
              <w:spacing w:line="300" w:lineRule="exact"/>
              <w:jc w:val="center"/>
              <w:rPr>
                <w:rFonts w:ascii="宋体" w:hAnsi="宋体" w:eastAsia="宋体" w:cs="宋体"/>
                <w:sz w:val="24"/>
              </w:rPr>
            </w:pPr>
            <w:r>
              <w:rPr>
                <w:rFonts w:hint="eastAsia" w:ascii="宋体" w:hAnsi="宋体" w:eastAsia="宋体" w:cs="宋体"/>
                <w:sz w:val="24"/>
              </w:rPr>
              <w:t>8分</w:t>
            </w:r>
          </w:p>
        </w:tc>
        <w:tc>
          <w:tcPr>
            <w:tcW w:w="5898" w:type="dxa"/>
            <w:vAlign w:val="center"/>
          </w:tcPr>
          <w:p>
            <w:pPr>
              <w:spacing w:beforeLines="30" w:afterLines="30"/>
              <w:rPr>
                <w:rFonts w:ascii="宋体" w:hAnsi="宋体" w:eastAsia="宋体" w:cs="宋体"/>
                <w:color w:val="000000"/>
                <w:kern w:val="1"/>
                <w:sz w:val="24"/>
              </w:rPr>
            </w:pPr>
            <w:r>
              <w:rPr>
                <w:rFonts w:hint="eastAsia" w:ascii="宋体" w:hAnsi="宋体" w:eastAsia="宋体" w:cs="宋体"/>
                <w:color w:val="000000"/>
                <w:kern w:val="1"/>
                <w:sz w:val="24"/>
              </w:rPr>
              <w:t>投标人荣誉</w:t>
            </w:r>
          </w:p>
          <w:p>
            <w:pPr>
              <w:spacing w:afterLines="20"/>
              <w:rPr>
                <w:rFonts w:ascii="宋体" w:hAnsi="宋体" w:eastAsia="宋体" w:cs="宋体"/>
                <w:color w:val="000000"/>
                <w:kern w:val="1"/>
                <w:sz w:val="24"/>
              </w:rPr>
            </w:pPr>
            <w:r>
              <w:rPr>
                <w:rFonts w:hint="eastAsia" w:ascii="宋体" w:hAnsi="宋体" w:eastAsia="宋体" w:cs="宋体"/>
                <w:color w:val="000000"/>
                <w:kern w:val="1"/>
                <w:sz w:val="24"/>
              </w:rPr>
              <w:t>（1）投标人具有五星级及以上售后服务认证证书的；得2分。</w:t>
            </w:r>
          </w:p>
          <w:p>
            <w:pPr>
              <w:pStyle w:val="11"/>
              <w:spacing w:after="4" w:line="240" w:lineRule="auto"/>
              <w:ind w:left="0" w:leftChars="0" w:firstLine="0" w:firstLineChars="0"/>
              <w:rPr>
                <w:rFonts w:hAnsi="宋体" w:eastAsia="宋体" w:cs="宋体"/>
                <w:color w:val="0000FF"/>
                <w:kern w:val="1"/>
                <w:sz w:val="24"/>
              </w:rPr>
            </w:pPr>
            <w:r>
              <w:rPr>
                <w:rFonts w:hint="eastAsia" w:hAnsi="宋体" w:eastAsia="宋体" w:cs="宋体"/>
                <w:color w:val="000000"/>
                <w:kern w:val="1"/>
                <w:sz w:val="24"/>
              </w:rPr>
              <w:t>（2）投标人同时具有省住建厅或市审批局下发的环保工程专业承包三级资质证书的，得2分；二级资质证书的，得4分；一级及以上资质证书的，得6分。</w:t>
            </w:r>
          </w:p>
          <w:p>
            <w:pPr>
              <w:spacing w:line="360" w:lineRule="exact"/>
              <w:rPr>
                <w:rFonts w:ascii="宋体" w:hAnsi="宋体" w:eastAsia="宋体" w:cs="宋体"/>
                <w:sz w:val="24"/>
              </w:rPr>
            </w:pPr>
            <w:r>
              <w:rPr>
                <w:rFonts w:hint="eastAsia" w:ascii="宋体" w:hAnsi="宋体" w:eastAsia="宋体" w:cs="宋体"/>
                <w:b/>
                <w:bCs/>
                <w:color w:val="000000"/>
                <w:kern w:val="1"/>
                <w:sz w:val="24"/>
              </w:rPr>
              <w:t xml:space="preserve">备注：投标文件中提供以上在有效期内的证书扫描件或复印件，同时另附证书官网查询截图。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Merge w:val="continue"/>
            <w:vAlign w:val="center"/>
          </w:tcPr>
          <w:p>
            <w:pPr>
              <w:autoSpaceDN w:val="0"/>
              <w:spacing w:line="360" w:lineRule="auto"/>
              <w:jc w:val="center"/>
              <w:textAlignment w:val="center"/>
              <w:rPr>
                <w:rFonts w:ascii="宋体" w:hAnsi="宋体" w:eastAsia="宋体" w:cs="宋体"/>
                <w:sz w:val="24"/>
              </w:rPr>
            </w:pPr>
          </w:p>
        </w:tc>
        <w:tc>
          <w:tcPr>
            <w:tcW w:w="1225" w:type="dxa"/>
            <w:vAlign w:val="center"/>
          </w:tcPr>
          <w:p>
            <w:pPr>
              <w:autoSpaceDN w:val="0"/>
              <w:spacing w:line="300" w:lineRule="exact"/>
              <w:jc w:val="center"/>
              <w:textAlignment w:val="center"/>
              <w:rPr>
                <w:rFonts w:ascii="宋体" w:hAnsi="宋体" w:eastAsia="宋体" w:cs="宋体"/>
                <w:sz w:val="24"/>
              </w:rPr>
            </w:pPr>
            <w:r>
              <w:rPr>
                <w:rFonts w:hint="eastAsia" w:ascii="宋体" w:hAnsi="宋体" w:eastAsia="宋体" w:cs="宋体"/>
                <w:sz w:val="24"/>
              </w:rPr>
              <w:t>技术实力</w:t>
            </w:r>
          </w:p>
        </w:tc>
        <w:tc>
          <w:tcPr>
            <w:tcW w:w="986" w:type="dxa"/>
            <w:vAlign w:val="center"/>
          </w:tcPr>
          <w:p>
            <w:pPr>
              <w:spacing w:line="300" w:lineRule="exact"/>
              <w:jc w:val="center"/>
              <w:rPr>
                <w:rFonts w:ascii="宋体" w:hAnsi="宋体" w:eastAsia="宋体" w:cs="宋体"/>
                <w:sz w:val="24"/>
              </w:rPr>
            </w:pPr>
            <w:r>
              <w:rPr>
                <w:rFonts w:hint="eastAsia" w:ascii="宋体" w:hAnsi="宋体" w:eastAsia="宋体" w:cs="宋体"/>
                <w:sz w:val="24"/>
              </w:rPr>
              <w:t>6分</w:t>
            </w:r>
          </w:p>
        </w:tc>
        <w:tc>
          <w:tcPr>
            <w:tcW w:w="5898" w:type="dxa"/>
            <w:vAlign w:val="center"/>
          </w:tcPr>
          <w:p>
            <w:pPr>
              <w:pStyle w:val="11"/>
              <w:spacing w:beforeLines="30" w:after="6" w:line="240" w:lineRule="auto"/>
              <w:ind w:left="0" w:leftChars="0" w:firstLine="0" w:firstLineChars="0"/>
              <w:rPr>
                <w:rFonts w:hAnsi="宋体" w:eastAsia="宋体" w:cs="宋体"/>
                <w:color w:val="000000"/>
                <w:kern w:val="1"/>
                <w:sz w:val="24"/>
              </w:rPr>
            </w:pPr>
            <w:r>
              <w:rPr>
                <w:rFonts w:hint="eastAsia" w:hAnsi="宋体" w:eastAsia="宋体" w:cs="宋体"/>
                <w:color w:val="000000"/>
                <w:kern w:val="1"/>
                <w:sz w:val="24"/>
              </w:rPr>
              <w:t>拟派项目组人员实力</w:t>
            </w:r>
          </w:p>
          <w:p>
            <w:pPr>
              <w:widowControl/>
              <w:spacing w:beforeLines="30" w:afterLines="30"/>
              <w:jc w:val="left"/>
              <w:rPr>
                <w:rFonts w:ascii="宋体" w:hAnsi="宋体" w:eastAsia="宋体" w:cs="宋体"/>
                <w:color w:val="000000"/>
                <w:kern w:val="1"/>
                <w:sz w:val="24"/>
                <w:lang w:eastAsia="ar-SA"/>
              </w:rPr>
            </w:pPr>
            <w:r>
              <w:rPr>
                <w:rFonts w:hint="eastAsia" w:ascii="宋体" w:hAnsi="宋体" w:eastAsia="宋体" w:cs="宋体"/>
                <w:color w:val="000000"/>
                <w:kern w:val="1"/>
                <w:sz w:val="24"/>
              </w:rPr>
              <w:t>拟派技术负责人具有环境类专业高级工程师证书的，得2分；拟派安装人员具有电气设备安装调试高级工证书、水电工高级工证书、污水处理工高级工证书、管道工高级工证书，每个提供一个证书2分；满分4分。</w:t>
            </w:r>
          </w:p>
          <w:p>
            <w:pPr>
              <w:spacing w:line="360" w:lineRule="exact"/>
              <w:rPr>
                <w:rFonts w:ascii="宋体" w:hAnsi="宋体" w:eastAsia="宋体" w:cs="宋体"/>
                <w:b/>
                <w:bCs/>
                <w:color w:val="000000"/>
                <w:kern w:val="1"/>
                <w:sz w:val="24"/>
              </w:rPr>
            </w:pPr>
            <w:r>
              <w:rPr>
                <w:rFonts w:hint="eastAsia" w:ascii="宋体" w:hAnsi="宋体" w:eastAsia="宋体" w:cs="宋体"/>
                <w:b/>
                <w:bCs/>
                <w:color w:val="000000"/>
                <w:kern w:val="1"/>
                <w:sz w:val="24"/>
              </w:rPr>
              <w:t>备注：投标文件中提供以上在有效期内的证书扫描件或复印件，同时另附证书官网查询截图。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Merge w:val="continue"/>
            <w:vAlign w:val="center"/>
          </w:tcPr>
          <w:p>
            <w:pPr>
              <w:autoSpaceDN w:val="0"/>
              <w:spacing w:line="360" w:lineRule="auto"/>
              <w:jc w:val="center"/>
              <w:textAlignment w:val="center"/>
              <w:rPr>
                <w:rFonts w:ascii="宋体" w:hAnsi="宋体" w:eastAsia="宋体" w:cs="宋体"/>
                <w:sz w:val="24"/>
              </w:rPr>
            </w:pPr>
          </w:p>
        </w:tc>
        <w:tc>
          <w:tcPr>
            <w:tcW w:w="1225" w:type="dxa"/>
            <w:vAlign w:val="center"/>
          </w:tcPr>
          <w:p>
            <w:pPr>
              <w:autoSpaceDN w:val="0"/>
              <w:spacing w:line="300" w:lineRule="exact"/>
              <w:jc w:val="center"/>
              <w:textAlignment w:val="center"/>
              <w:rPr>
                <w:rFonts w:ascii="宋体" w:hAnsi="宋体" w:eastAsia="宋体" w:cs="宋体"/>
                <w:sz w:val="24"/>
              </w:rPr>
            </w:pPr>
            <w:r>
              <w:rPr>
                <w:rFonts w:hint="eastAsia" w:ascii="宋体" w:hAnsi="宋体" w:eastAsia="宋体" w:cs="宋体"/>
                <w:sz w:val="24"/>
              </w:rPr>
              <w:t>质保期限</w:t>
            </w:r>
          </w:p>
        </w:tc>
        <w:tc>
          <w:tcPr>
            <w:tcW w:w="986" w:type="dxa"/>
            <w:vAlign w:val="center"/>
          </w:tcPr>
          <w:p>
            <w:pPr>
              <w:spacing w:line="300" w:lineRule="exact"/>
              <w:jc w:val="center"/>
              <w:rPr>
                <w:rFonts w:ascii="宋体" w:hAnsi="宋体" w:eastAsia="宋体" w:cs="宋体"/>
                <w:sz w:val="24"/>
              </w:rPr>
            </w:pPr>
            <w:r>
              <w:rPr>
                <w:rFonts w:hint="eastAsia" w:ascii="宋体" w:hAnsi="宋体" w:eastAsia="宋体" w:cs="宋体"/>
                <w:sz w:val="24"/>
              </w:rPr>
              <w:t>4分</w:t>
            </w:r>
          </w:p>
        </w:tc>
        <w:tc>
          <w:tcPr>
            <w:tcW w:w="5898" w:type="dxa"/>
            <w:vAlign w:val="center"/>
          </w:tcPr>
          <w:p>
            <w:pPr>
              <w:widowControl/>
              <w:rPr>
                <w:rFonts w:ascii="宋体" w:hAnsi="宋体" w:eastAsia="宋体" w:cs="宋体"/>
                <w:spacing w:val="-6"/>
                <w:sz w:val="24"/>
              </w:rPr>
            </w:pPr>
            <w:r>
              <w:rPr>
                <w:rFonts w:hint="eastAsia" w:ascii="宋体" w:hAnsi="宋体" w:eastAsia="宋体" w:cs="宋体"/>
                <w:b/>
                <w:sz w:val="24"/>
              </w:rPr>
              <w:t>质保期：</w:t>
            </w:r>
            <w:r>
              <w:rPr>
                <w:rFonts w:hint="eastAsia" w:ascii="宋体" w:hAnsi="宋体" w:eastAsia="宋体" w:cs="宋体"/>
                <w:spacing w:val="-8"/>
                <w:sz w:val="24"/>
              </w:rPr>
              <w:t xml:space="preserve">投标产品质保期 </w:t>
            </w:r>
            <w:r>
              <w:rPr>
                <w:rFonts w:hint="eastAsia" w:ascii="宋体" w:hAnsi="宋体" w:eastAsia="宋体" w:cs="宋体"/>
                <w:sz w:val="24"/>
              </w:rPr>
              <w:t>1</w:t>
            </w:r>
            <w:r>
              <w:rPr>
                <w:rFonts w:hint="eastAsia" w:ascii="宋体" w:hAnsi="宋体" w:eastAsia="宋体" w:cs="宋体"/>
                <w:spacing w:val="-30"/>
                <w:sz w:val="24"/>
              </w:rPr>
              <w:t xml:space="preserve"> 年不得分，</w:t>
            </w:r>
            <w:r>
              <w:rPr>
                <w:rFonts w:hint="eastAsia" w:ascii="宋体" w:hAnsi="宋体" w:eastAsia="宋体" w:cs="宋体"/>
                <w:spacing w:val="-14"/>
                <w:sz w:val="24"/>
              </w:rPr>
              <w:t xml:space="preserve">每增加一年得 </w:t>
            </w:r>
            <w:r>
              <w:rPr>
                <w:rFonts w:hint="eastAsia" w:ascii="宋体" w:hAnsi="宋体" w:eastAsia="宋体" w:cs="宋体"/>
                <w:sz w:val="24"/>
              </w:rPr>
              <w:t>2</w:t>
            </w:r>
            <w:r>
              <w:rPr>
                <w:rFonts w:hint="eastAsia" w:ascii="宋体" w:hAnsi="宋体" w:eastAsia="宋体" w:cs="宋体"/>
                <w:spacing w:val="-16"/>
                <w:sz w:val="24"/>
              </w:rPr>
              <w:t>分，最高</w:t>
            </w:r>
            <w:r>
              <w:rPr>
                <w:rFonts w:hint="eastAsia" w:ascii="宋体" w:hAnsi="宋体" w:eastAsia="宋体" w:cs="宋体"/>
                <w:spacing w:val="-20"/>
                <w:sz w:val="24"/>
              </w:rPr>
              <w:t>得分4</w:t>
            </w:r>
            <w:r>
              <w:rPr>
                <w:rFonts w:hint="eastAsia" w:ascii="宋体" w:hAnsi="宋体" w:eastAsia="宋体" w:cs="宋体"/>
                <w:spacing w:val="-11"/>
                <w:sz w:val="24"/>
              </w:rPr>
              <w:t>分。以投标函中所报质保期为准，取整年数</w:t>
            </w:r>
            <w:r>
              <w:rPr>
                <w:rFonts w:hint="eastAsia" w:ascii="宋体" w:hAnsi="宋体" w:eastAsia="宋体" w:cs="宋体"/>
                <w:spacing w:val="-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Merge w:val="continue"/>
            <w:vAlign w:val="center"/>
          </w:tcPr>
          <w:p>
            <w:pPr>
              <w:autoSpaceDN w:val="0"/>
              <w:spacing w:line="360" w:lineRule="auto"/>
              <w:jc w:val="center"/>
              <w:textAlignment w:val="center"/>
              <w:rPr>
                <w:rFonts w:ascii="宋体" w:hAnsi="宋体" w:eastAsia="宋体" w:cs="宋体"/>
                <w:sz w:val="24"/>
              </w:rPr>
            </w:pPr>
          </w:p>
        </w:tc>
        <w:tc>
          <w:tcPr>
            <w:tcW w:w="1225" w:type="dxa"/>
            <w:vAlign w:val="center"/>
          </w:tcPr>
          <w:p>
            <w:pPr>
              <w:autoSpaceDN w:val="0"/>
              <w:spacing w:line="300" w:lineRule="exact"/>
              <w:jc w:val="center"/>
              <w:textAlignment w:val="center"/>
              <w:rPr>
                <w:rFonts w:ascii="宋体" w:hAnsi="宋体" w:eastAsia="宋体" w:cs="宋体"/>
                <w:sz w:val="24"/>
              </w:rPr>
            </w:pPr>
            <w:r>
              <w:rPr>
                <w:rFonts w:hint="eastAsia" w:ascii="宋体" w:hAnsi="宋体" w:eastAsia="宋体" w:cs="宋体"/>
                <w:sz w:val="24"/>
              </w:rPr>
              <w:t>服务方案</w:t>
            </w:r>
          </w:p>
        </w:tc>
        <w:tc>
          <w:tcPr>
            <w:tcW w:w="986" w:type="dxa"/>
            <w:vAlign w:val="center"/>
          </w:tcPr>
          <w:p>
            <w:pPr>
              <w:spacing w:line="300" w:lineRule="exact"/>
              <w:jc w:val="center"/>
              <w:rPr>
                <w:rFonts w:ascii="宋体" w:hAnsi="宋体" w:eastAsia="宋体" w:cs="宋体"/>
                <w:sz w:val="24"/>
              </w:rPr>
            </w:pPr>
            <w:r>
              <w:rPr>
                <w:rFonts w:hint="eastAsia" w:ascii="宋体" w:hAnsi="宋体" w:eastAsia="宋体" w:cs="宋体"/>
                <w:sz w:val="24"/>
              </w:rPr>
              <w:t>6分</w:t>
            </w:r>
          </w:p>
        </w:tc>
        <w:tc>
          <w:tcPr>
            <w:tcW w:w="5898" w:type="dxa"/>
            <w:vAlign w:val="center"/>
          </w:tcPr>
          <w:p>
            <w:pPr>
              <w:widowControl/>
              <w:rPr>
                <w:rFonts w:ascii="宋体" w:hAnsi="宋体" w:eastAsia="宋体" w:cs="宋体"/>
                <w:spacing w:val="-8"/>
                <w:sz w:val="24"/>
              </w:rPr>
            </w:pPr>
            <w:r>
              <w:rPr>
                <w:rFonts w:hint="eastAsia" w:ascii="宋体" w:hAnsi="宋体" w:eastAsia="宋体" w:cs="宋体"/>
                <w:color w:val="000000"/>
                <w:kern w:val="1"/>
                <w:sz w:val="24"/>
              </w:rPr>
              <w:t>投标人投标的施工、安装和调试方案，科学有效且具有可操作性的，得6分；方案一般且能满足需要的，得3分；方案不完整但能基本满足需要的，得1分；方案存在明显缺陷的或无方案的，不得分。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Merge w:val="continue"/>
            <w:vAlign w:val="center"/>
          </w:tcPr>
          <w:p>
            <w:pPr>
              <w:autoSpaceDN w:val="0"/>
              <w:spacing w:line="360" w:lineRule="auto"/>
              <w:jc w:val="center"/>
              <w:textAlignment w:val="center"/>
              <w:rPr>
                <w:rFonts w:ascii="宋体" w:hAnsi="宋体" w:eastAsia="宋体" w:cs="宋体"/>
                <w:sz w:val="24"/>
              </w:rPr>
            </w:pPr>
          </w:p>
        </w:tc>
        <w:tc>
          <w:tcPr>
            <w:tcW w:w="1225" w:type="dxa"/>
            <w:vAlign w:val="center"/>
          </w:tcPr>
          <w:p>
            <w:pPr>
              <w:autoSpaceDN w:val="0"/>
              <w:spacing w:line="300" w:lineRule="exact"/>
              <w:jc w:val="center"/>
              <w:textAlignment w:val="center"/>
              <w:rPr>
                <w:rFonts w:ascii="宋体" w:hAnsi="宋体" w:eastAsia="宋体" w:cs="宋体"/>
                <w:sz w:val="24"/>
              </w:rPr>
            </w:pPr>
            <w:r>
              <w:rPr>
                <w:rFonts w:hint="eastAsia" w:ascii="宋体" w:hAnsi="宋体" w:eastAsia="宋体" w:cs="宋体"/>
                <w:sz w:val="24"/>
              </w:rPr>
              <w:t>业绩</w:t>
            </w:r>
          </w:p>
        </w:tc>
        <w:tc>
          <w:tcPr>
            <w:tcW w:w="986" w:type="dxa"/>
            <w:vAlign w:val="center"/>
          </w:tcPr>
          <w:p>
            <w:pPr>
              <w:spacing w:line="300" w:lineRule="exact"/>
              <w:jc w:val="center"/>
              <w:rPr>
                <w:rFonts w:ascii="宋体" w:hAnsi="宋体" w:eastAsia="宋体" w:cs="宋体"/>
                <w:sz w:val="24"/>
              </w:rPr>
            </w:pPr>
            <w:r>
              <w:rPr>
                <w:rFonts w:hint="eastAsia" w:ascii="宋体" w:hAnsi="宋体" w:eastAsia="宋体" w:cs="宋体"/>
                <w:sz w:val="24"/>
              </w:rPr>
              <w:t>6分</w:t>
            </w:r>
          </w:p>
        </w:tc>
        <w:tc>
          <w:tcPr>
            <w:tcW w:w="5898" w:type="dxa"/>
            <w:vAlign w:val="center"/>
          </w:tcPr>
          <w:p>
            <w:pPr>
              <w:pStyle w:val="11"/>
              <w:spacing w:beforeLines="50" w:line="240" w:lineRule="auto"/>
              <w:ind w:left="0" w:leftChars="0" w:firstLine="0" w:firstLineChars="0"/>
              <w:rPr>
                <w:rFonts w:hAnsi="宋体" w:eastAsia="宋体" w:cs="宋体"/>
                <w:color w:val="000000"/>
                <w:kern w:val="1"/>
                <w:sz w:val="24"/>
              </w:rPr>
            </w:pPr>
            <w:r>
              <w:rPr>
                <w:rFonts w:hint="eastAsia" w:hAnsi="宋体" w:eastAsia="宋体" w:cs="宋体"/>
                <w:color w:val="000000"/>
                <w:kern w:val="1"/>
                <w:sz w:val="24"/>
              </w:rPr>
              <w:t>投标企业具有自2019年1月1日以来，具有医院污水处理站新建或改造类业绩的，每提供一个得3分，满分6分。</w:t>
            </w:r>
          </w:p>
          <w:p>
            <w:pPr>
              <w:pStyle w:val="11"/>
              <w:spacing w:line="240" w:lineRule="auto"/>
              <w:ind w:left="0" w:leftChars="0" w:firstLine="0" w:firstLineChars="0"/>
              <w:rPr>
                <w:rFonts w:hAnsi="宋体" w:eastAsia="宋体" w:cs="宋体"/>
                <w:color w:val="0000FF"/>
                <w:kern w:val="1"/>
                <w:sz w:val="24"/>
              </w:rPr>
            </w:pPr>
            <w:r>
              <w:rPr>
                <w:rFonts w:hint="eastAsia" w:hAnsi="宋体" w:eastAsia="宋体" w:cs="宋体"/>
                <w:b/>
                <w:bCs/>
                <w:color w:val="000000"/>
                <w:kern w:val="1"/>
                <w:sz w:val="24"/>
              </w:rPr>
              <w:t>备注：响应文件中提供业绩合同影印件或扫描件。若合同中无法体现签订时间、服务内容、水量、合同主体等关键评审因素的，须同时提供业主（合同甲方）证明材料，否则不得分。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49" w:type="dxa"/>
            <w:gridSpan w:val="4"/>
            <w:vAlign w:val="center"/>
          </w:tcPr>
          <w:p>
            <w:pPr>
              <w:pStyle w:val="11"/>
              <w:spacing w:line="240" w:lineRule="auto"/>
              <w:ind w:left="0" w:leftChars="0" w:firstLine="0" w:firstLineChars="0"/>
              <w:jc w:val="left"/>
              <w:rPr>
                <w:rFonts w:ascii="黑体" w:hAnsi="黑体" w:eastAsia="黑体" w:cs="黑体"/>
                <w:color w:val="000000"/>
                <w:kern w:val="1"/>
                <w:sz w:val="24"/>
              </w:rPr>
            </w:pPr>
            <w:r>
              <w:rPr>
                <w:rFonts w:hint="eastAsia" w:ascii="黑体" w:hAnsi="黑体" w:eastAsia="黑体" w:cs="黑体"/>
                <w:color w:val="000000"/>
                <w:kern w:val="1"/>
                <w:sz w:val="24"/>
              </w:rPr>
              <w:t>备注：</w:t>
            </w:r>
          </w:p>
          <w:p>
            <w:pPr>
              <w:pStyle w:val="11"/>
              <w:spacing w:line="240" w:lineRule="auto"/>
              <w:ind w:left="0" w:leftChars="0" w:firstLine="0" w:firstLineChars="0"/>
              <w:jc w:val="left"/>
              <w:rPr>
                <w:rFonts w:ascii="黑体" w:hAnsi="黑体" w:eastAsia="黑体" w:cs="黑体"/>
                <w:color w:val="000000"/>
                <w:kern w:val="1"/>
                <w:sz w:val="24"/>
              </w:rPr>
            </w:pPr>
            <w:r>
              <w:rPr>
                <w:rFonts w:hint="eastAsia" w:ascii="黑体" w:hAnsi="黑体" w:eastAsia="黑体" w:cs="黑体"/>
                <w:color w:val="000000"/>
                <w:kern w:val="1"/>
                <w:sz w:val="24"/>
              </w:rPr>
              <w:t>1、上述评分标准中，各项涉及到的证件、证书等资料提供扫面件。若有造假责任自负。</w:t>
            </w:r>
          </w:p>
          <w:p>
            <w:pPr>
              <w:pStyle w:val="11"/>
              <w:spacing w:line="240" w:lineRule="auto"/>
              <w:ind w:left="0" w:leftChars="0" w:firstLine="0" w:firstLineChars="0"/>
              <w:rPr>
                <w:rFonts w:ascii="黑体" w:hAnsi="黑体" w:eastAsia="黑体" w:cs="黑体"/>
                <w:b/>
                <w:bCs/>
                <w:color w:val="000000"/>
                <w:kern w:val="1"/>
                <w:szCs w:val="21"/>
              </w:rPr>
            </w:pPr>
            <w:r>
              <w:rPr>
                <w:rFonts w:hint="eastAsia" w:ascii="黑体" w:hAnsi="黑体" w:eastAsia="黑体" w:cs="黑体"/>
                <w:color w:val="000000"/>
                <w:kern w:val="1"/>
                <w:sz w:val="24"/>
              </w:rPr>
              <w:t>2、各投标人的技术标得分为各评委所评技术标合计分值的算术平均值（取小数点后两位，第三位的数字四舍五入）</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E12F4"/>
    <w:multiLevelType w:val="singleLevel"/>
    <w:tmpl w:val="8CAE12F4"/>
    <w:lvl w:ilvl="0" w:tentative="0">
      <w:start w:val="4"/>
      <w:numFmt w:val="chineseCounting"/>
      <w:suff w:val="nothing"/>
      <w:lvlText w:val="%1、"/>
      <w:lvlJc w:val="left"/>
      <w:rPr>
        <w:rFonts w:hint="eastAsia"/>
        <w:sz w:val="32"/>
        <w:szCs w:val="32"/>
      </w:rPr>
    </w:lvl>
  </w:abstractNum>
  <w:abstractNum w:abstractNumId="1">
    <w:nsid w:val="C0BF106B"/>
    <w:multiLevelType w:val="singleLevel"/>
    <w:tmpl w:val="C0BF106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IxMmJlYmMyMTYyZGY4YjliMDMyYTYzODYyNGI4MGYifQ=="/>
  </w:docVars>
  <w:rsids>
    <w:rsidRoot w:val="2F9E2CE1"/>
    <w:rsid w:val="0012452D"/>
    <w:rsid w:val="003A5381"/>
    <w:rsid w:val="00440EC0"/>
    <w:rsid w:val="0087658F"/>
    <w:rsid w:val="00B92126"/>
    <w:rsid w:val="00F84379"/>
    <w:rsid w:val="014D4677"/>
    <w:rsid w:val="029C49D4"/>
    <w:rsid w:val="03960557"/>
    <w:rsid w:val="06697598"/>
    <w:rsid w:val="08A47272"/>
    <w:rsid w:val="08E96A1D"/>
    <w:rsid w:val="0BFA4196"/>
    <w:rsid w:val="0D366907"/>
    <w:rsid w:val="0D811C85"/>
    <w:rsid w:val="12251EF7"/>
    <w:rsid w:val="1BD25A4D"/>
    <w:rsid w:val="1D255113"/>
    <w:rsid w:val="294765D9"/>
    <w:rsid w:val="29A67FF7"/>
    <w:rsid w:val="2A0E2346"/>
    <w:rsid w:val="2C28127B"/>
    <w:rsid w:val="2D554067"/>
    <w:rsid w:val="2EE53486"/>
    <w:rsid w:val="2F9E2CE1"/>
    <w:rsid w:val="30BD0622"/>
    <w:rsid w:val="325B4596"/>
    <w:rsid w:val="32FF1798"/>
    <w:rsid w:val="33C1667B"/>
    <w:rsid w:val="39BB664E"/>
    <w:rsid w:val="3C5842C4"/>
    <w:rsid w:val="3CB925E5"/>
    <w:rsid w:val="406B3BF6"/>
    <w:rsid w:val="40E939EC"/>
    <w:rsid w:val="454755E4"/>
    <w:rsid w:val="46BD2CD2"/>
    <w:rsid w:val="4D7C2B08"/>
    <w:rsid w:val="4E6032F9"/>
    <w:rsid w:val="520220A0"/>
    <w:rsid w:val="5BE014E5"/>
    <w:rsid w:val="5CD30355"/>
    <w:rsid w:val="5CD66444"/>
    <w:rsid w:val="5D9E6F62"/>
    <w:rsid w:val="5F28567D"/>
    <w:rsid w:val="5FFB6C25"/>
    <w:rsid w:val="66D734E4"/>
    <w:rsid w:val="68F44821"/>
    <w:rsid w:val="6AEB0215"/>
    <w:rsid w:val="6B0A28AE"/>
    <w:rsid w:val="6C586E75"/>
    <w:rsid w:val="6CB22984"/>
    <w:rsid w:val="6D81110F"/>
    <w:rsid w:val="6F8A37EA"/>
    <w:rsid w:val="705621C1"/>
    <w:rsid w:val="72141031"/>
    <w:rsid w:val="74A0760B"/>
    <w:rsid w:val="778C51A8"/>
    <w:rsid w:val="7A747570"/>
    <w:rsid w:val="7B5B603A"/>
    <w:rsid w:val="7B681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340" w:after="330" w:line="578" w:lineRule="auto"/>
      <w:outlineLvl w:val="0"/>
    </w:pPr>
    <w:rPr>
      <w:b/>
      <w:bCs/>
      <w:kern w:val="44"/>
      <w:sz w:val="32"/>
      <w:szCs w:val="44"/>
    </w:rPr>
  </w:style>
  <w:style w:type="paragraph" w:styleId="3">
    <w:name w:val="heading 2"/>
    <w:basedOn w:val="1"/>
    <w:next w:val="1"/>
    <w:unhideWhenUsed/>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4">
    <w:name w:val="heading 4"/>
    <w:basedOn w:val="1"/>
    <w:next w:val="1"/>
    <w:qFormat/>
    <w:uiPriority w:val="0"/>
    <w:pPr>
      <w:keepNext/>
      <w:keepLines/>
      <w:spacing w:after="120" w:line="377" w:lineRule="auto"/>
      <w:outlineLvl w:val="3"/>
    </w:pPr>
    <w:rPr>
      <w:rFonts w:ascii="Arial" w:hAnsi="Arial" w:eastAsia="黑体"/>
      <w:b/>
      <w:bCs/>
      <w:sz w:val="72"/>
      <w:szCs w:val="28"/>
      <w:lang w:bidi="he-IL"/>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next w:val="6"/>
    <w:qFormat/>
    <w:uiPriority w:val="0"/>
    <w:pPr>
      <w:snapToGrid w:val="0"/>
      <w:spacing w:line="360" w:lineRule="auto"/>
      <w:ind w:firstLine="240" w:firstLineChars="100"/>
    </w:pPr>
    <w:rPr>
      <w:rFonts w:ascii="宋体"/>
      <w:sz w:val="24"/>
    </w:rPr>
  </w:style>
  <w:style w:type="paragraph" w:styleId="6">
    <w:name w:val="envelope return"/>
    <w:basedOn w:val="1"/>
    <w:unhideWhenUsed/>
    <w:qFormat/>
    <w:uiPriority w:val="99"/>
    <w:pPr>
      <w:snapToGrid w:val="0"/>
    </w:pPr>
    <w:rPr>
      <w:rFonts w:hint="eastAsia" w:ascii="Arial" w:hAnsi="Arial"/>
    </w:rPr>
  </w:style>
  <w:style w:type="paragraph" w:styleId="7">
    <w:name w:val="Body Text Indent 2"/>
    <w:basedOn w:val="1"/>
    <w:next w:val="1"/>
    <w:qFormat/>
    <w:uiPriority w:val="99"/>
    <w:pPr>
      <w:spacing w:after="120" w:line="480" w:lineRule="auto"/>
      <w:ind w:left="420" w:leftChars="200"/>
    </w:pPr>
    <w:rPr>
      <w:rFonts w:ascii="Calibri" w:hAnsi="Calibri"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paragraph" w:styleId="11">
    <w:name w:val="Body Text First Indent 2"/>
    <w:basedOn w:val="5"/>
    <w:next w:val="1"/>
    <w:unhideWhenUsed/>
    <w:qFormat/>
    <w:uiPriority w:val="99"/>
    <w:pPr>
      <w:spacing w:after="120"/>
      <w:ind w:left="420" w:leftChars="200" w:firstLine="420" w:firstLineChars="200"/>
    </w:pPr>
    <w:rPr>
      <w:sz w:val="21"/>
    </w:rPr>
  </w:style>
  <w:style w:type="paragraph" w:styleId="14">
    <w:name w:val="List Paragraph"/>
    <w:basedOn w:val="1"/>
    <w:qFormat/>
    <w:uiPriority w:val="99"/>
    <w:pPr>
      <w:widowControl/>
      <w:spacing w:before="100" w:beforeAutospacing="1" w:after="100" w:afterAutospacing="1"/>
      <w:ind w:firstLine="420"/>
      <w:jc w:val="left"/>
    </w:pPr>
    <w:rPr>
      <w:rFonts w:ascii="宋体" w:hAnsi="宋体"/>
      <w:kern w:val="0"/>
      <w:sz w:val="24"/>
    </w:rPr>
  </w:style>
  <w:style w:type="paragraph" w:customStyle="1" w:styleId="15">
    <w:name w:val="样式1"/>
    <w:basedOn w:val="1"/>
    <w:next w:val="4"/>
    <w:qFormat/>
    <w:uiPriority w:val="0"/>
    <w:pPr>
      <w:spacing w:line="360" w:lineRule="auto"/>
      <w:ind w:firstLine="420"/>
    </w:pPr>
    <w:rPr>
      <w:rFonts w:ascii="宋体" w:hAnsi="宋体"/>
      <w:szCs w:val="21"/>
    </w:rPr>
  </w:style>
  <w:style w:type="paragraph" w:customStyle="1" w:styleId="16">
    <w:name w:val="Table Paragraph"/>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342</Words>
  <Characters>1954</Characters>
  <Lines>16</Lines>
  <Paragraphs>4</Paragraphs>
  <TotalTime>1</TotalTime>
  <ScaleCrop>false</ScaleCrop>
  <LinksUpToDate>false</LinksUpToDate>
  <CharactersWithSpaces>2292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2023-08-01T09:08:00Z</dcterms:created>
  <dc:creator>Administrator</dc:creator>
  <cp:lastModifiedBy>WPS_1641349493</cp:lastModifiedBy>
  <cp:lastPrinted>2023-03-09T00:14:00Z</cp:lastPrinted>
  <dcterms:modified xsi:type="dcterms:W3CDTF">2023-08-02T07:26:20Z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6E40F4110F354BD7A2ED5FBBC819CC50_13</vt:lpwstr>
  </property>
</Properties>
</file>