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ascii="宋体" w:hAnsi="宋体"/>
          <w:b/>
          <w:bCs/>
          <w:sz w:val="24"/>
          <w:szCs w:val="24"/>
        </w:rPr>
        <w:t>(一)评标办法</w:t>
      </w:r>
    </w:p>
    <w:p>
      <w:pPr>
        <w:spacing w:before="159" w:beforeLines="50" w:after="159" w:afterLines="50" w:line="500" w:lineRule="exact"/>
        <w:ind w:firstLine="480" w:firstLineChars="200"/>
        <w:rPr>
          <w:rFonts w:hint="eastAsia" w:ascii="宋体" w:hAnsi="宋体"/>
          <w:bCs/>
          <w:sz w:val="24"/>
        </w:rPr>
      </w:pPr>
      <w:r>
        <w:rPr>
          <w:rFonts w:hint="eastAsia" w:ascii="宋体" w:hAnsi="宋体"/>
          <w:sz w:val="24"/>
        </w:rPr>
        <w:t>本次评标采用</w:t>
      </w:r>
      <w:r>
        <w:rPr>
          <w:rFonts w:hint="eastAsia" w:ascii="宋体" w:hAnsi="宋体"/>
          <w:b/>
          <w:sz w:val="24"/>
        </w:rPr>
        <w:t>综合评分法</w:t>
      </w:r>
      <w:r>
        <w:rPr>
          <w:rFonts w:hint="eastAsia" w:ascii="宋体" w:hAnsi="宋体"/>
          <w:sz w:val="24"/>
          <w:lang w:eastAsia="zh-CN"/>
        </w:rPr>
        <w:t>,</w:t>
      </w:r>
      <w:r>
        <w:rPr>
          <w:rFonts w:hint="eastAsia" w:ascii="宋体" w:hAnsi="宋体"/>
          <w:sz w:val="24"/>
        </w:rPr>
        <w:t>总分为100分</w:t>
      </w:r>
      <w:r>
        <w:rPr>
          <w:rFonts w:hint="eastAsia" w:ascii="宋体" w:hAnsi="宋体"/>
          <w:sz w:val="24"/>
          <w:lang w:eastAsia="zh-CN"/>
        </w:rPr>
        <w:t>,</w:t>
      </w:r>
      <w:r>
        <w:rPr>
          <w:rFonts w:hint="eastAsia" w:ascii="宋体" w:hAnsi="宋体"/>
          <w:sz w:val="24"/>
        </w:rPr>
        <w:t>其中价格分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分、技术分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分。合格投标人的综合得分为所有评委评分的价格评分与技术评分总和的算术平均值</w:t>
      </w:r>
      <w:r>
        <w:rPr>
          <w:rFonts w:hint="eastAsia" w:ascii="宋体" w:hAnsi="宋体"/>
          <w:sz w:val="24"/>
          <w:lang w:eastAsia="zh-CN"/>
        </w:rPr>
        <w:t>,</w:t>
      </w:r>
      <w:r>
        <w:rPr>
          <w:rFonts w:hint="eastAsia" w:ascii="宋体" w:hAnsi="宋体"/>
          <w:sz w:val="24"/>
        </w:rPr>
        <w:t>中标候选资格按综合得分由高到低顺序排列；得分相同的</w:t>
      </w:r>
      <w:r>
        <w:rPr>
          <w:rFonts w:hint="eastAsia" w:ascii="宋体" w:hAnsi="宋体"/>
          <w:sz w:val="24"/>
          <w:lang w:eastAsia="zh-CN"/>
        </w:rPr>
        <w:t>,</w:t>
      </w:r>
      <w:r>
        <w:rPr>
          <w:rFonts w:hint="eastAsia" w:ascii="宋体" w:hAnsi="宋体"/>
          <w:sz w:val="24"/>
        </w:rPr>
        <w:t>投标报价低者排名优先；投标报价仍相同的</w:t>
      </w:r>
      <w:r>
        <w:rPr>
          <w:rFonts w:hint="eastAsia" w:ascii="宋体" w:hAnsi="宋体"/>
          <w:sz w:val="24"/>
          <w:lang w:eastAsia="zh-CN"/>
        </w:rPr>
        <w:t>,</w:t>
      </w:r>
      <w:r>
        <w:rPr>
          <w:rFonts w:hint="eastAsia" w:ascii="宋体" w:hAnsi="宋体"/>
          <w:sz w:val="24"/>
        </w:rPr>
        <w:t>技术分高者排名优先；仍相同的</w:t>
      </w:r>
      <w:r>
        <w:rPr>
          <w:rFonts w:hint="eastAsia" w:ascii="宋体" w:hAnsi="宋体"/>
          <w:sz w:val="24"/>
          <w:lang w:eastAsia="zh-CN"/>
        </w:rPr>
        <w:t>,</w:t>
      </w:r>
      <w:r>
        <w:rPr>
          <w:rFonts w:hint="eastAsia" w:ascii="宋体" w:hAnsi="宋体"/>
          <w:sz w:val="24"/>
        </w:rPr>
        <w:t>由采购人代表在监管部门监督下抽签确定排名。排名第一的投标人为第一中标候选人,排名第二的投标人为第二中标候选人</w:t>
      </w:r>
      <w:r>
        <w:rPr>
          <w:rFonts w:hint="eastAsia" w:ascii="宋体" w:hAnsi="宋体"/>
          <w:sz w:val="24"/>
          <w:lang w:eastAsia="zh-CN"/>
        </w:rPr>
        <w:t>,</w:t>
      </w:r>
      <w:r>
        <w:rPr>
          <w:rFonts w:hint="eastAsia" w:ascii="宋体" w:hAnsi="宋体"/>
          <w:sz w:val="24"/>
        </w:rPr>
        <w:t>排名第三的投标人为第三中标候选人。</w:t>
      </w:r>
      <w:r>
        <w:rPr>
          <w:rFonts w:hint="eastAsia" w:ascii="宋体" w:hAnsi="宋体"/>
          <w:bCs/>
          <w:sz w:val="24"/>
        </w:rPr>
        <w:t>评分过程四舍五入</w:t>
      </w:r>
      <w:r>
        <w:rPr>
          <w:rFonts w:hint="eastAsia" w:ascii="宋体" w:hAnsi="宋体"/>
          <w:bCs/>
          <w:sz w:val="24"/>
          <w:lang w:eastAsia="zh-CN"/>
        </w:rPr>
        <w:t>,</w:t>
      </w:r>
      <w:r>
        <w:rPr>
          <w:rFonts w:hint="eastAsia" w:ascii="宋体" w:hAnsi="宋体"/>
          <w:bCs/>
          <w:sz w:val="24"/>
        </w:rPr>
        <w:t>并保留小数2位。</w:t>
      </w:r>
    </w:p>
    <w:p>
      <w:pPr>
        <w:jc w:val="left"/>
        <w:rPr>
          <w:rFonts w:hint="eastAsia"/>
          <w:b/>
          <w:bCs/>
          <w:sz w:val="32"/>
          <w:szCs w:val="32"/>
        </w:rPr>
      </w:pPr>
    </w:p>
    <w:p>
      <w:pPr>
        <w:pStyle w:val="2"/>
        <w:spacing w:before="0" w:after="0" w:line="360" w:lineRule="auto"/>
        <w:ind w:firstLine="0"/>
        <w:rPr>
          <w:rFonts w:hint="eastAsia"/>
          <w:sz w:val="28"/>
          <w:szCs w:val="28"/>
        </w:rPr>
      </w:pPr>
      <w:r>
        <w:rPr>
          <w:rFonts w:hint="eastAsia" w:ascii="宋体" w:hAnsi="宋体" w:eastAsia="宋体"/>
          <w:sz w:val="24"/>
          <w:szCs w:val="24"/>
        </w:rPr>
        <w:t>(二)评分细则</w:t>
      </w:r>
    </w:p>
    <w:p>
      <w:pPr>
        <w:rPr>
          <w:rFonts w:hint="eastAsia"/>
        </w:rPr>
      </w:pPr>
    </w:p>
    <w:tbl>
      <w:tblPr>
        <w:tblStyle w:val="3"/>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25"/>
        <w:gridCol w:w="98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5" w:type="dxa"/>
            <w:gridSpan w:val="2"/>
            <w:noWrap w:val="0"/>
            <w:vAlign w:val="center"/>
          </w:tcPr>
          <w:p>
            <w:pPr>
              <w:spacing w:line="300" w:lineRule="exact"/>
              <w:jc w:val="center"/>
              <w:rPr>
                <w:rFonts w:hint="eastAsia" w:ascii="宋体" w:hAnsi="宋体" w:cs="宋体"/>
                <w:b/>
                <w:sz w:val="24"/>
              </w:rPr>
            </w:pPr>
            <w:r>
              <w:rPr>
                <w:rFonts w:hint="eastAsia" w:ascii="宋体" w:hAnsi="宋体" w:cs="宋体"/>
                <w:b/>
                <w:sz w:val="24"/>
              </w:rPr>
              <w:t>评审内容</w:t>
            </w:r>
          </w:p>
        </w:tc>
        <w:tc>
          <w:tcPr>
            <w:tcW w:w="986" w:type="dxa"/>
            <w:noWrap w:val="0"/>
            <w:vAlign w:val="center"/>
          </w:tcPr>
          <w:p>
            <w:pPr>
              <w:spacing w:line="30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满分值</w:t>
            </w:r>
          </w:p>
        </w:tc>
        <w:tc>
          <w:tcPr>
            <w:tcW w:w="5898" w:type="dxa"/>
            <w:noWrap w:val="0"/>
            <w:vAlign w:val="center"/>
          </w:tcPr>
          <w:p>
            <w:pPr>
              <w:spacing w:line="300" w:lineRule="exact"/>
              <w:jc w:val="center"/>
              <w:rPr>
                <w:rFonts w:hint="eastAsia" w:ascii="宋体" w:hAnsi="宋体" w:cs="宋体"/>
                <w:b/>
                <w:sz w:val="24"/>
              </w:rPr>
            </w:pPr>
            <w:r>
              <w:rPr>
                <w:rFonts w:hint="eastAsia" w:ascii="宋体" w:hAnsi="宋体" w:cs="宋体"/>
                <w:b/>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noWrap w:val="0"/>
            <w:vAlign w:val="center"/>
          </w:tcPr>
          <w:p>
            <w:pPr>
              <w:spacing w:line="300" w:lineRule="exact"/>
              <w:jc w:val="center"/>
              <w:rPr>
                <w:rFonts w:hint="eastAsia" w:ascii="宋体" w:hAnsi="宋体" w:cs="宋体"/>
                <w:b/>
                <w:sz w:val="24"/>
              </w:rPr>
            </w:pPr>
            <w:r>
              <w:rPr>
                <w:rFonts w:hint="eastAsia" w:ascii="宋体" w:hAnsi="宋体" w:cs="宋体"/>
                <w:sz w:val="24"/>
              </w:rPr>
              <w:t>价格分(</w:t>
            </w:r>
            <w:r>
              <w:rPr>
                <w:rFonts w:hint="eastAsia" w:ascii="宋体" w:hAnsi="宋体" w:cs="宋体"/>
                <w:sz w:val="24"/>
                <w:lang w:val="en-US" w:eastAsia="zh-CN"/>
              </w:rPr>
              <w:t>5</w:t>
            </w:r>
            <w:r>
              <w:rPr>
                <w:rFonts w:hint="eastAsia" w:ascii="宋体" w:hAnsi="宋体" w:cs="宋体"/>
                <w:sz w:val="24"/>
              </w:rPr>
              <w:t>0分)</w:t>
            </w:r>
          </w:p>
        </w:tc>
        <w:tc>
          <w:tcPr>
            <w:tcW w:w="1225" w:type="dxa"/>
            <w:noWrap w:val="0"/>
            <w:vAlign w:val="center"/>
          </w:tcPr>
          <w:p>
            <w:pPr>
              <w:spacing w:line="300" w:lineRule="exact"/>
              <w:jc w:val="center"/>
              <w:rPr>
                <w:rFonts w:hint="eastAsia" w:ascii="宋体" w:hAnsi="宋体" w:cs="宋体"/>
                <w:b/>
                <w:sz w:val="24"/>
              </w:rPr>
            </w:pPr>
            <w:r>
              <w:rPr>
                <w:rFonts w:hint="eastAsia" w:ascii="宋体" w:hAnsi="宋体" w:cs="宋体"/>
                <w:sz w:val="24"/>
                <w:lang w:eastAsia="zh-CN"/>
              </w:rPr>
              <w:t>投标价格</w:t>
            </w:r>
          </w:p>
        </w:tc>
        <w:tc>
          <w:tcPr>
            <w:tcW w:w="986" w:type="dxa"/>
            <w:noWrap w:val="0"/>
            <w:vAlign w:val="center"/>
          </w:tcPr>
          <w:p>
            <w:pPr>
              <w:spacing w:line="300" w:lineRule="exact"/>
              <w:jc w:val="center"/>
              <w:rPr>
                <w:rFonts w:hint="eastAsia" w:ascii="宋体" w:hAnsi="宋体" w:cs="宋体"/>
                <w:b/>
                <w:sz w:val="24"/>
              </w:rPr>
            </w:pPr>
            <w:r>
              <w:rPr>
                <w:rFonts w:hint="eastAsia" w:ascii="宋体" w:hAnsi="宋体" w:cs="宋体"/>
                <w:sz w:val="24"/>
                <w:lang w:val="en-US" w:eastAsia="zh-CN"/>
              </w:rPr>
              <w:t>50</w:t>
            </w:r>
          </w:p>
        </w:tc>
        <w:tc>
          <w:tcPr>
            <w:tcW w:w="58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sz w:val="24"/>
              </w:rPr>
            </w:pPr>
            <w:r>
              <w:rPr>
                <w:rFonts w:hint="eastAsia" w:ascii="宋体" w:hAnsi="宋体" w:cs="宋体"/>
                <w:sz w:val="24"/>
              </w:rPr>
              <w:t>价格分统一采用低价优先法</w:t>
            </w:r>
            <w:r>
              <w:rPr>
                <w:rFonts w:hint="eastAsia" w:ascii="宋体" w:hAnsi="宋体" w:cs="宋体"/>
                <w:sz w:val="24"/>
                <w:lang w:eastAsia="zh-CN"/>
              </w:rPr>
              <w:t>,</w:t>
            </w:r>
            <w:r>
              <w:rPr>
                <w:rFonts w:hint="eastAsia" w:ascii="宋体" w:hAnsi="宋体" w:cs="宋体"/>
                <w:sz w:val="24"/>
              </w:rPr>
              <w:t>即满足招标文件要求且投标价格最低的投标报价为评标基准价</w:t>
            </w:r>
            <w:r>
              <w:rPr>
                <w:rFonts w:hint="eastAsia" w:ascii="宋体" w:hAnsi="宋体" w:cs="宋体"/>
                <w:sz w:val="24"/>
                <w:lang w:eastAsia="zh-CN"/>
              </w:rPr>
              <w:t>,</w:t>
            </w:r>
            <w:r>
              <w:rPr>
                <w:rFonts w:hint="eastAsia" w:ascii="宋体" w:hAnsi="宋体" w:cs="宋体"/>
                <w:sz w:val="24"/>
              </w:rPr>
              <w:t>其价格分为满分</w:t>
            </w:r>
            <w:r>
              <w:rPr>
                <w:rFonts w:hint="eastAsia" w:ascii="宋体" w:hAnsi="宋体" w:cs="宋体"/>
                <w:sz w:val="24"/>
                <w:lang w:val="en-US" w:eastAsia="zh-CN"/>
              </w:rPr>
              <w:t>5</w:t>
            </w:r>
            <w:r>
              <w:rPr>
                <w:rFonts w:hint="eastAsia" w:ascii="宋体" w:hAnsi="宋体" w:cs="宋体"/>
                <w:sz w:val="24"/>
              </w:rPr>
              <w:t>0分。其他投标供应商的价格为统一按照下列公式计算：投标报价得分=</w:t>
            </w:r>
            <w:r>
              <w:rPr>
                <w:rFonts w:hint="eastAsia" w:ascii="宋体" w:hAnsi="宋体" w:cs="宋体"/>
                <w:sz w:val="24"/>
                <w:lang w:eastAsia="zh-CN"/>
              </w:rPr>
              <w:t>(</w:t>
            </w:r>
            <w:r>
              <w:rPr>
                <w:rFonts w:hint="eastAsia" w:ascii="宋体" w:hAnsi="宋体" w:cs="宋体"/>
                <w:sz w:val="24"/>
              </w:rPr>
              <w:t>评标基准价/投标报价</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restart"/>
            <w:noWrap w:val="0"/>
            <w:vAlign w:val="center"/>
          </w:tcPr>
          <w:p>
            <w:pPr>
              <w:autoSpaceDN w:val="0"/>
              <w:spacing w:line="300" w:lineRule="exact"/>
              <w:jc w:val="center"/>
              <w:textAlignment w:val="center"/>
              <w:rPr>
                <w:rFonts w:hint="eastAsia" w:ascii="宋体" w:hAnsi="宋体" w:cs="宋体"/>
                <w:sz w:val="24"/>
              </w:rPr>
            </w:pPr>
            <w:r>
              <w:rPr>
                <w:rFonts w:hint="eastAsia" w:ascii="宋体" w:hAnsi="宋体" w:cs="宋体"/>
                <w:sz w:val="24"/>
              </w:rPr>
              <w:t>技术分(</w:t>
            </w:r>
            <w:r>
              <w:rPr>
                <w:rFonts w:hint="eastAsia" w:ascii="宋体" w:hAnsi="宋体" w:cs="宋体"/>
                <w:sz w:val="24"/>
                <w:lang w:val="en-US" w:eastAsia="zh-CN"/>
              </w:rPr>
              <w:t>5</w:t>
            </w:r>
            <w:r>
              <w:rPr>
                <w:rFonts w:hint="eastAsia" w:ascii="宋体" w:hAnsi="宋体" w:cs="宋体"/>
                <w:sz w:val="24"/>
              </w:rPr>
              <w:t>0分)</w:t>
            </w: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rPr>
              <w:t>技术参数</w:t>
            </w:r>
            <w:r>
              <w:rPr>
                <w:rFonts w:hint="eastAsia" w:ascii="宋体" w:hAnsi="宋体" w:cs="宋体"/>
                <w:sz w:val="24"/>
                <w:lang w:eastAsia="zh-CN"/>
              </w:rPr>
              <w:t>响应情况</w:t>
            </w:r>
          </w:p>
        </w:tc>
        <w:tc>
          <w:tcPr>
            <w:tcW w:w="986" w:type="dxa"/>
            <w:noWrap w:val="0"/>
            <w:vAlign w:val="center"/>
          </w:tcPr>
          <w:p>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58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b/>
                <w:sz w:val="24"/>
                <w:szCs w:val="24"/>
              </w:rPr>
              <w:t>技术响应性：</w:t>
            </w:r>
            <w:r>
              <w:rPr>
                <w:rFonts w:hint="eastAsia" w:ascii="宋体" w:hAnsi="宋体" w:eastAsia="宋体" w:cs="宋体"/>
                <w:sz w:val="24"/>
                <w:szCs w:val="24"/>
              </w:rPr>
              <w:t xml:space="preserve">技术条款要求的整体响应情况进行综合评价，本项满分为 </w:t>
            </w:r>
            <w:r>
              <w:rPr>
                <w:rFonts w:hint="eastAsia" w:ascii="宋体" w:hAnsi="宋体" w:cs="宋体"/>
                <w:sz w:val="24"/>
                <w:szCs w:val="24"/>
                <w:lang w:val="en-US" w:eastAsia="zh-CN"/>
              </w:rPr>
              <w:t>30</w:t>
            </w:r>
            <w:r>
              <w:rPr>
                <w:rFonts w:hint="eastAsia" w:ascii="宋体" w:hAnsi="宋体" w:eastAsia="宋体" w:cs="宋体"/>
                <w:sz w:val="24"/>
                <w:szCs w:val="24"/>
              </w:rPr>
              <w:t>分；再根据投标产品技术参数对招标文件中技术条款要求的整体响应情况进行综合评价，★参数不满足每项扣</w:t>
            </w:r>
            <w:r>
              <w:rPr>
                <w:rFonts w:hint="eastAsia" w:ascii="宋体" w:hAnsi="宋体" w:cs="宋体"/>
                <w:sz w:val="24"/>
                <w:szCs w:val="24"/>
                <w:lang w:val="en-US" w:eastAsia="zh-CN"/>
              </w:rPr>
              <w:t>3</w:t>
            </w:r>
            <w:r>
              <w:rPr>
                <w:rFonts w:hint="eastAsia" w:ascii="宋体" w:hAnsi="宋体" w:eastAsia="宋体" w:cs="宋体"/>
                <w:sz w:val="24"/>
                <w:szCs w:val="24"/>
              </w:rPr>
              <w:t>分，非星号参数不满足每项扣</w:t>
            </w:r>
            <w:r>
              <w:rPr>
                <w:rFonts w:hint="eastAsia" w:ascii="宋体" w:hAnsi="宋体" w:cs="宋体"/>
                <w:sz w:val="24"/>
                <w:szCs w:val="24"/>
                <w:lang w:val="en-US" w:eastAsia="zh-CN"/>
              </w:rPr>
              <w:t>1</w:t>
            </w:r>
            <w:r>
              <w:rPr>
                <w:rFonts w:hint="eastAsia" w:ascii="宋体" w:hAnsi="宋体" w:eastAsia="宋体" w:cs="宋体"/>
                <w:sz w:val="24"/>
                <w:szCs w:val="24"/>
              </w:rPr>
              <w:t>分，扣完为止（★参数及正偏离参数在投标文件中需提供相应支撑材料（包括但不限于产品彩页，检测报告，技术白皮书等）并标注页码，如不提供相应支撑材料则评标时不予认可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企业实力及品牌影响力</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5898"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Chars="0"/>
              <w:textAlignment w:val="auto"/>
              <w:rPr>
                <w:rFonts w:hint="default"/>
                <w:lang w:val="en-US" w:eastAsia="zh-CN"/>
              </w:rPr>
            </w:pPr>
            <w:r>
              <w:rPr>
                <w:rFonts w:ascii="Microsoft JhengHei"/>
                <w:b/>
                <w:sz w:val="24"/>
                <w:szCs w:val="24"/>
              </w:rPr>
              <w:t>投标产品品牌、市场认可度：</w:t>
            </w:r>
            <w:r>
              <w:rPr>
                <w:rFonts w:hint="eastAsia"/>
                <w:sz w:val="24"/>
                <w:szCs w:val="24"/>
              </w:rPr>
              <w:t>根据投标产品的品牌知名度、美誉度和市场</w:t>
            </w:r>
            <w:r>
              <w:rPr>
                <w:rFonts w:hint="eastAsia"/>
                <w:sz w:val="24"/>
                <w:szCs w:val="24"/>
                <w:lang w:eastAsia="zh-CN"/>
              </w:rPr>
              <w:t>占有率等</w:t>
            </w:r>
            <w:r>
              <w:rPr>
                <w:rFonts w:hint="eastAsia"/>
                <w:sz w:val="24"/>
                <w:szCs w:val="24"/>
              </w:rPr>
              <w:t>进行综合评价，</w:t>
            </w:r>
            <w:r>
              <w:rPr>
                <w:rFonts w:hint="eastAsia"/>
                <w:sz w:val="24"/>
                <w:szCs w:val="24"/>
                <w:lang w:val="en-US" w:eastAsia="zh-CN"/>
              </w:rPr>
              <w:t>10</w:t>
            </w:r>
            <w:r>
              <w:rPr>
                <w:rFonts w:hint="eastAsia"/>
                <w:sz w:val="24"/>
                <w:szCs w:val="24"/>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质保及</w:t>
            </w:r>
            <w:r>
              <w:rPr>
                <w:rFonts w:hint="eastAsia" w:ascii="宋体" w:hAnsi="宋体" w:cs="宋体"/>
                <w:sz w:val="24"/>
              </w:rPr>
              <w:t>售后服务</w:t>
            </w:r>
            <w:r>
              <w:rPr>
                <w:rFonts w:hint="eastAsia" w:ascii="宋体" w:hAnsi="宋体" w:cs="宋体"/>
                <w:sz w:val="24"/>
                <w:lang w:eastAsia="zh-CN"/>
              </w:rPr>
              <w:t>维保方案</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5898" w:type="dxa"/>
            <w:noWrap w:val="0"/>
            <w:vAlign w:val="center"/>
          </w:tcPr>
          <w:p>
            <w:pPr>
              <w:widowControl/>
              <w:autoSpaceDE/>
              <w:autoSpaceDN/>
              <w:jc w:val="both"/>
              <w:rPr>
                <w:rFonts w:hint="eastAsia" w:ascii="宋体" w:hAnsi="宋体" w:eastAsia="宋体" w:cs="宋体"/>
                <w:spacing w:val="-6"/>
                <w:sz w:val="24"/>
                <w:szCs w:val="24"/>
              </w:rPr>
            </w:pPr>
            <w:r>
              <w:rPr>
                <w:rFonts w:hint="eastAsia" w:ascii="宋体" w:hAnsi="宋体" w:eastAsia="宋体" w:cs="宋体"/>
                <w:b/>
                <w:sz w:val="24"/>
                <w:szCs w:val="24"/>
              </w:rPr>
              <w:t>质保期：</w:t>
            </w:r>
            <w:r>
              <w:rPr>
                <w:rFonts w:hint="eastAsia" w:ascii="宋体" w:hAnsi="宋体" w:eastAsia="宋体" w:cs="宋体"/>
                <w:spacing w:val="-8"/>
                <w:sz w:val="24"/>
                <w:szCs w:val="24"/>
              </w:rPr>
              <w:t xml:space="preserve">投标产品质保期 </w:t>
            </w:r>
            <w:r>
              <w:rPr>
                <w:rFonts w:hint="eastAsia" w:ascii="宋体" w:hAnsi="宋体" w:eastAsia="宋体" w:cs="宋体"/>
                <w:sz w:val="24"/>
                <w:szCs w:val="24"/>
              </w:rPr>
              <w:t>1</w:t>
            </w:r>
            <w:r>
              <w:rPr>
                <w:rFonts w:hint="eastAsia" w:ascii="宋体" w:hAnsi="宋体" w:eastAsia="宋体" w:cs="宋体"/>
                <w:spacing w:val="-30"/>
                <w:sz w:val="24"/>
                <w:szCs w:val="24"/>
              </w:rPr>
              <w:t xml:space="preserve"> 年</w:t>
            </w:r>
            <w:r>
              <w:rPr>
                <w:rFonts w:hint="eastAsia" w:ascii="宋体" w:hAnsi="宋体" w:cs="宋体"/>
                <w:spacing w:val="-30"/>
                <w:sz w:val="24"/>
                <w:szCs w:val="24"/>
                <w:lang w:eastAsia="zh-CN"/>
              </w:rPr>
              <w:t>不得分</w:t>
            </w:r>
            <w:r>
              <w:rPr>
                <w:rFonts w:hint="eastAsia" w:ascii="宋体" w:hAnsi="宋体" w:eastAsia="宋体" w:cs="宋体"/>
                <w:spacing w:val="-30"/>
                <w:sz w:val="24"/>
                <w:szCs w:val="24"/>
              </w:rPr>
              <w:t>，</w:t>
            </w:r>
            <w:r>
              <w:rPr>
                <w:rFonts w:hint="eastAsia" w:ascii="宋体" w:hAnsi="宋体" w:eastAsia="宋体" w:cs="宋体"/>
                <w:spacing w:val="-14"/>
                <w:sz w:val="24"/>
                <w:szCs w:val="24"/>
              </w:rPr>
              <w:t xml:space="preserve">每增加一年得 </w:t>
            </w:r>
            <w:r>
              <w:rPr>
                <w:rFonts w:hint="eastAsia" w:ascii="宋体" w:hAnsi="宋体" w:cs="宋体"/>
                <w:sz w:val="24"/>
                <w:szCs w:val="24"/>
                <w:lang w:val="en-US" w:eastAsia="zh-CN"/>
              </w:rPr>
              <w:t>2</w:t>
            </w:r>
            <w:r>
              <w:rPr>
                <w:rFonts w:hint="eastAsia" w:ascii="宋体" w:hAnsi="宋体" w:eastAsia="宋体" w:cs="宋体"/>
                <w:spacing w:val="-16"/>
                <w:sz w:val="24"/>
                <w:szCs w:val="24"/>
              </w:rPr>
              <w:t>分，最高</w:t>
            </w:r>
            <w:r>
              <w:rPr>
                <w:rFonts w:hint="eastAsia" w:ascii="宋体" w:hAnsi="宋体" w:eastAsia="宋体" w:cs="宋体"/>
                <w:spacing w:val="-20"/>
                <w:sz w:val="24"/>
                <w:szCs w:val="24"/>
              </w:rPr>
              <w:t>得分</w:t>
            </w:r>
            <w:r>
              <w:rPr>
                <w:rFonts w:hint="eastAsia" w:ascii="宋体" w:hAnsi="宋体" w:cs="宋体"/>
                <w:spacing w:val="-20"/>
                <w:sz w:val="24"/>
                <w:szCs w:val="24"/>
                <w:lang w:val="en-US" w:eastAsia="zh-CN"/>
              </w:rPr>
              <w:t>6</w:t>
            </w:r>
            <w:r>
              <w:rPr>
                <w:rFonts w:hint="eastAsia" w:ascii="宋体" w:hAnsi="宋体" w:eastAsia="宋体" w:cs="宋体"/>
                <w:spacing w:val="-11"/>
                <w:sz w:val="24"/>
                <w:szCs w:val="24"/>
              </w:rPr>
              <w:t>分。以投标函中所报质保期为准，取整年数</w:t>
            </w:r>
            <w:r>
              <w:rPr>
                <w:rFonts w:hint="eastAsia" w:ascii="宋体" w:hAnsi="宋体" w:eastAsia="宋体" w:cs="宋体"/>
                <w:spacing w:val="-6"/>
                <w:sz w:val="24"/>
                <w:szCs w:val="24"/>
              </w:rPr>
              <w:t>。</w:t>
            </w:r>
          </w:p>
          <w:p>
            <w:pPr>
              <w:pStyle w:val="6"/>
              <w:spacing w:line="374" w:lineRule="exact"/>
              <w:rPr>
                <w:rFonts w:hint="eastAsia" w:ascii="宋体" w:hAnsi="宋体" w:eastAsia="宋体" w:cs="宋体"/>
                <w:b/>
                <w:sz w:val="24"/>
                <w:szCs w:val="24"/>
              </w:rPr>
            </w:pPr>
            <w:r>
              <w:rPr>
                <w:rFonts w:hint="eastAsia" w:ascii="宋体" w:hAnsi="宋体" w:eastAsia="宋体" w:cs="宋体"/>
                <w:b/>
                <w:sz w:val="24"/>
                <w:szCs w:val="24"/>
              </w:rPr>
              <w:t>售后服务：</w:t>
            </w:r>
          </w:p>
          <w:p>
            <w:pPr>
              <w:widowControl/>
              <w:autoSpaceDE/>
              <w:autoSpaceDN/>
              <w:jc w:val="both"/>
              <w:rPr>
                <w:rFonts w:hint="eastAsia"/>
                <w:spacing w:val="-6"/>
                <w:lang w:val="en-US" w:eastAsia="zh-CN"/>
              </w:rPr>
            </w:pPr>
            <w:r>
              <w:rPr>
                <w:rFonts w:hint="eastAsia" w:ascii="宋体" w:hAnsi="宋体" w:eastAsia="宋体" w:cs="宋体"/>
                <w:spacing w:val="-8"/>
                <w:sz w:val="24"/>
                <w:szCs w:val="24"/>
              </w:rPr>
              <w:t>根据质保期</w:t>
            </w:r>
            <w:bookmarkStart w:id="0" w:name="_GoBack"/>
            <w:bookmarkEnd w:id="0"/>
            <w:r>
              <w:rPr>
                <w:rFonts w:hint="eastAsia" w:ascii="宋体" w:hAnsi="宋体" w:eastAsia="宋体" w:cs="宋体"/>
                <w:spacing w:val="-8"/>
                <w:sz w:val="24"/>
                <w:szCs w:val="24"/>
              </w:rPr>
              <w:t>内及质保期满后的售后服务方案及其他相关承诺及售后</w:t>
            </w:r>
            <w:r>
              <w:rPr>
                <w:rFonts w:hint="eastAsia" w:ascii="宋体" w:hAnsi="宋体" w:eastAsia="宋体" w:cs="宋体"/>
                <w:sz w:val="24"/>
                <w:szCs w:val="24"/>
              </w:rPr>
              <w:t>服务团队和技术人员情况进行综合评价。共</w:t>
            </w:r>
            <w:r>
              <w:rPr>
                <w:rFonts w:hint="eastAsia" w:ascii="宋体" w:hAnsi="宋体" w:cs="宋体"/>
                <w:sz w:val="24"/>
                <w:szCs w:val="24"/>
                <w:lang w:val="en-US" w:eastAsia="zh-CN"/>
              </w:rPr>
              <w:t>4</w:t>
            </w:r>
            <w:r>
              <w:rPr>
                <w:rFonts w:hint="eastAsia" w:ascii="宋体" w:hAnsi="宋体" w:eastAsia="宋体" w:cs="宋体"/>
                <w:spacing w:val="-36"/>
                <w:sz w:val="24"/>
                <w:szCs w:val="24"/>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CFDC9"/>
    <w:multiLevelType w:val="singleLevel"/>
    <w:tmpl w:val="FDFCFDC9"/>
    <w:lvl w:ilvl="0" w:tentative="0">
      <w:start w:val="1"/>
      <w:numFmt w:val="decimal"/>
      <w:suff w:val="nothing"/>
      <w:lvlText w:val="%1、"/>
      <w:lvlJc w:val="left"/>
      <w:pPr>
        <w:ind w:left="0"/>
      </w:pPr>
      <w:rPr>
        <w:rFonts w:hint="default" w:ascii="宋体" w:hAnsi="宋体" w:eastAsia="宋体" w:cs="宋体"/>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ZTJkYWZkOGJlOWFmMDRkN2Q5NjdkYzkyODI4ZjkifQ=="/>
  </w:docVars>
  <w:rsids>
    <w:rsidRoot w:val="00226D48"/>
    <w:rsid w:val="00226D48"/>
    <w:rsid w:val="1F364A20"/>
    <w:rsid w:val="240A400A"/>
    <w:rsid w:val="31AF61E6"/>
    <w:rsid w:val="46E30BEB"/>
    <w:rsid w:val="57751FD3"/>
    <w:rsid w:val="57AD228C"/>
    <w:rsid w:val="5D4A3B4C"/>
    <w:rsid w:val="73B50154"/>
    <w:rsid w:val="7953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710</Words>
  <Characters>730</Characters>
  <Lines>0</Lines>
  <Paragraphs>0</Paragraphs>
  <TotalTime>28</TotalTime>
  <ScaleCrop>false</ScaleCrop>
  <LinksUpToDate>false</LinksUpToDate>
  <CharactersWithSpaces>738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2021-06-15T00:51:00Z</dcterms:created>
  <dc:creator>Administrator</dc:creator>
  <cp:lastModifiedBy>Administrator</cp:lastModifiedBy>
  <cp:lastPrinted>2021-08-07T08:02:00Z</cp:lastPrinted>
  <dcterms:modified xsi:type="dcterms:W3CDTF">2023-03-09T07:22:42Z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8993E6B0661742C79036975EE5D480C9</vt:lpwstr>
  </property>
</Properties>
</file>