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霍邱县第二人民医院门诊楼及住院部大楼电表计量改造工程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采购项目</w:t>
            </w:r>
          </w:p>
          <w:p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：HQEY-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2022ZW1206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spacing w:line="360" w:lineRule="exact"/>
              <w:ind w:left="91" w:leftChars="23" w:hanging="43" w:hangingChars="18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2"/>
              <w:spacing w:line="360" w:lineRule="exac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10:00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份，副本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院内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hAnsi="宋体" w:cs="宋体"/>
                <w:sz w:val="24"/>
                <w:lang w:val="en-US" w:eastAsia="zh-CN"/>
              </w:rPr>
              <w:t>不低于贰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 w:cs="宋体"/>
                <w:b w:val="0"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项目内容：</w:t>
            </w:r>
            <w:r>
              <w:rPr>
                <w:rFonts w:hint="eastAsia" w:hAnsi="宋体" w:cs="宋体"/>
                <w:b w:val="0"/>
                <w:bCs/>
                <w:kern w:val="2"/>
                <w:sz w:val="24"/>
                <w:lang w:val="en-US" w:eastAsia="zh-CN"/>
              </w:rPr>
              <w:t>本次采购包含所有安装、调试、试运行等一切施工内容。</w:t>
            </w:r>
          </w:p>
          <w:p>
            <w:pPr>
              <w:pStyle w:val="2"/>
              <w:spacing w:line="360" w:lineRule="exact"/>
              <w:rPr>
                <w:rFonts w:hint="default" w:hAnsi="宋体" w:eastAsia="宋体" w:cs="宋体"/>
                <w:b w:val="0"/>
                <w:bCs/>
                <w:kern w:val="2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hAnsi="宋体" w:cs="宋体"/>
                <w:b/>
                <w:bCs w:val="0"/>
                <w:kern w:val="2"/>
                <w:sz w:val="24"/>
                <w:lang w:val="en-US" w:eastAsia="zh-CN"/>
              </w:rPr>
              <w:t>施工工期：</w:t>
            </w:r>
            <w:bookmarkEnd w:id="0"/>
            <w:r>
              <w:rPr>
                <w:rFonts w:hint="eastAsia" w:hAnsi="宋体" w:cs="宋体"/>
                <w:b w:val="0"/>
                <w:bCs/>
                <w:kern w:val="2"/>
                <w:sz w:val="24"/>
                <w:lang w:val="en-US" w:eastAsia="zh-CN"/>
              </w:rPr>
              <w:t>15个日历天</w:t>
            </w:r>
          </w:p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hAnsi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</w:t>
            </w: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满足电力分区域计量功能及相关标准要求。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经审计公司审计后付总款的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95%，余5%质保期满后一次性无息付清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现场勘察：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由投标方自行勘察现场，对工程量清单有质疑的，可在咨询时间内向招标人提请现场组织勘察。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22CB732B"/>
    <w:rsid w:val="3040750F"/>
    <w:rsid w:val="3ADF2A99"/>
    <w:rsid w:val="541C2B5B"/>
    <w:rsid w:val="563A4867"/>
    <w:rsid w:val="5C602840"/>
    <w:rsid w:val="64624529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456</Characters>
  <Lines>0</Lines>
  <Paragraphs>0</Paragraphs>
  <TotalTime>5</TotalTime>
  <ScaleCrop>false</ScaleCrop>
  <LinksUpToDate>false</LinksUpToDate>
  <CharactersWithSpaces>479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2022-12-06T02:14:00Z</cp:lastPrinted>
  <dcterms:modified xsi:type="dcterms:W3CDTF">2022-12-07T02:30:04Z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1459751E142F4163898DA4C55984B788</vt:lpwstr>
  </property>
</Properties>
</file>