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88" w:lineRule="auto"/>
        <w:rPr>
          <w:rFonts w:ascii="宋体" w:hAnsi="宋体" w:cs="宋体"/>
          <w:b/>
          <w:bCs/>
          <w:color w:val="000000"/>
          <w:kern w:val="0"/>
          <w:sz w:val="28"/>
          <w:szCs w:val="28"/>
        </w:rPr>
      </w:pPr>
      <w:r>
        <w:rPr>
          <w:rFonts w:hint="eastAsia" w:ascii="宋体" w:hAnsi="宋体" w:cs="宋体"/>
          <w:b/>
          <w:bCs/>
          <w:color w:val="000000"/>
          <w:kern w:val="0"/>
          <w:sz w:val="28"/>
          <w:szCs w:val="28"/>
        </w:rPr>
        <w:t>附件三：</w:t>
      </w:r>
    </w:p>
    <w:p>
      <w:pPr>
        <w:jc w:val="center"/>
        <w:rPr>
          <w:b/>
          <w:bCs/>
          <w:sz w:val="24"/>
        </w:rPr>
      </w:pPr>
      <w:r>
        <w:rPr>
          <w:rFonts w:hint="eastAsia" w:ascii="宋体" w:hAnsi="宋体"/>
          <w:b/>
          <w:bCs/>
          <w:sz w:val="24"/>
        </w:rPr>
        <w:t>(一)评标办法</w:t>
      </w:r>
    </w:p>
    <w:p>
      <w:pPr>
        <w:spacing w:before="156" w:beforeLines="50" w:after="156" w:afterLines="50" w:line="500" w:lineRule="exact"/>
        <w:ind w:firstLine="420" w:firstLineChars="200"/>
        <w:rPr>
          <w:rFonts w:ascii="宋体" w:hAnsi="宋体"/>
          <w:bCs/>
          <w:szCs w:val="21"/>
        </w:rPr>
      </w:pPr>
      <w:r>
        <w:rPr>
          <w:rFonts w:hint="eastAsia" w:ascii="宋体" w:hAnsi="宋体"/>
          <w:szCs w:val="21"/>
        </w:rPr>
        <w:t>本次评标采用</w:t>
      </w:r>
      <w:r>
        <w:rPr>
          <w:rFonts w:hint="eastAsia" w:ascii="宋体" w:hAnsi="宋体"/>
          <w:b/>
          <w:szCs w:val="21"/>
        </w:rPr>
        <w:t>综合评分法</w:t>
      </w:r>
      <w:r>
        <w:rPr>
          <w:rFonts w:hint="eastAsia" w:ascii="宋体" w:hAnsi="宋体"/>
          <w:szCs w:val="21"/>
        </w:rPr>
        <w:t>,总分为100分,其中价格分</w:t>
      </w:r>
      <w:r>
        <w:rPr>
          <w:rFonts w:hint="eastAsia" w:ascii="宋体" w:hAnsi="宋体"/>
          <w:szCs w:val="21"/>
          <w:u w:val="single"/>
        </w:rPr>
        <w:t xml:space="preserve"> 50 </w:t>
      </w:r>
      <w:r>
        <w:rPr>
          <w:rFonts w:hint="eastAsia" w:ascii="宋体" w:hAnsi="宋体"/>
          <w:szCs w:val="21"/>
        </w:rPr>
        <w:t>分、技术分</w:t>
      </w:r>
      <w:r>
        <w:rPr>
          <w:rFonts w:hint="eastAsia" w:ascii="宋体" w:hAnsi="宋体"/>
          <w:szCs w:val="21"/>
          <w:u w:val="single"/>
        </w:rPr>
        <w:t xml:space="preserve"> 50 </w:t>
      </w:r>
      <w:r>
        <w:rPr>
          <w:rFonts w:hint="eastAsia" w:ascii="宋体" w:hAnsi="宋体"/>
          <w:szCs w:val="21"/>
        </w:rPr>
        <w:t>分。合格投标人的综合得分为所有评委评分的价格评分与技术评分总和的算术平均值,中标候选资格按综合得分由高到低顺序排列；得分相同的,投标报价低者排名优先；投标报价仍相同的,技术分高者排名优先；仍相同的,由采购人代表在监管部门监督下抽签确定排名。排名第一的投标人为第一中标候选人,排名第二的投标人为第二中标候选人,排名第三的投标人为第三中标候选人。</w:t>
      </w:r>
      <w:r>
        <w:rPr>
          <w:rFonts w:hint="eastAsia" w:ascii="宋体" w:hAnsi="宋体"/>
          <w:bCs/>
          <w:szCs w:val="21"/>
        </w:rPr>
        <w:t>评分过程四舍五入,并保留小数2位。</w:t>
      </w:r>
    </w:p>
    <w:p>
      <w:pPr>
        <w:pStyle w:val="2"/>
        <w:spacing w:before="0" w:after="0" w:line="360" w:lineRule="auto"/>
        <w:ind w:firstLine="0"/>
        <w:rPr>
          <w:sz w:val="28"/>
          <w:szCs w:val="28"/>
        </w:rPr>
      </w:pPr>
      <w:r>
        <w:rPr>
          <w:rFonts w:hint="eastAsia" w:ascii="宋体" w:hAnsi="宋体" w:eastAsia="宋体"/>
          <w:sz w:val="24"/>
          <w:szCs w:val="24"/>
        </w:rPr>
        <w:t>(二)评分细则</w:t>
      </w:r>
    </w:p>
    <w:p/>
    <w:tbl>
      <w:tblPr>
        <w:tblStyle w:val="7"/>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5" w:type="dxa"/>
            <w:gridSpan w:val="2"/>
            <w:vAlign w:val="center"/>
          </w:tcPr>
          <w:p>
            <w:pPr>
              <w:spacing w:line="300" w:lineRule="exact"/>
              <w:jc w:val="center"/>
              <w:rPr>
                <w:rFonts w:ascii="宋体" w:hAnsi="宋体" w:cs="宋体"/>
                <w:b/>
                <w:sz w:val="24"/>
              </w:rPr>
            </w:pPr>
            <w:r>
              <w:rPr>
                <w:rFonts w:hint="eastAsia" w:ascii="宋体" w:hAnsi="宋体" w:cs="宋体"/>
                <w:b/>
                <w:sz w:val="24"/>
              </w:rPr>
              <w:t>评审内容</w:t>
            </w:r>
          </w:p>
        </w:tc>
        <w:tc>
          <w:tcPr>
            <w:tcW w:w="986" w:type="dxa"/>
            <w:vAlign w:val="center"/>
          </w:tcPr>
          <w:p>
            <w:pPr>
              <w:spacing w:line="300" w:lineRule="exact"/>
              <w:jc w:val="center"/>
              <w:rPr>
                <w:rFonts w:ascii="宋体" w:hAnsi="宋体" w:eastAsia="宋体" w:cs="宋体"/>
                <w:b/>
                <w:sz w:val="24"/>
              </w:rPr>
            </w:pPr>
            <w:r>
              <w:rPr>
                <w:rFonts w:hint="eastAsia" w:ascii="宋体" w:hAnsi="宋体" w:cs="宋体"/>
                <w:b/>
                <w:sz w:val="24"/>
              </w:rPr>
              <w:t>满分值</w:t>
            </w:r>
          </w:p>
        </w:tc>
        <w:tc>
          <w:tcPr>
            <w:tcW w:w="5898" w:type="dxa"/>
            <w:vAlign w:val="center"/>
          </w:tcPr>
          <w:p>
            <w:pPr>
              <w:spacing w:line="300" w:lineRule="exact"/>
              <w:jc w:val="center"/>
              <w:rPr>
                <w:rFonts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Align w:val="center"/>
          </w:tcPr>
          <w:p>
            <w:pPr>
              <w:spacing w:line="300" w:lineRule="exact"/>
              <w:jc w:val="center"/>
              <w:rPr>
                <w:rFonts w:ascii="宋体" w:hAnsi="宋体" w:cs="宋体"/>
                <w:b/>
                <w:sz w:val="24"/>
              </w:rPr>
            </w:pPr>
            <w:r>
              <w:rPr>
                <w:rFonts w:hint="eastAsia" w:ascii="宋体" w:hAnsi="宋体" w:cs="宋体"/>
                <w:sz w:val="24"/>
              </w:rPr>
              <w:t>价格分(50分)</w:t>
            </w:r>
          </w:p>
        </w:tc>
        <w:tc>
          <w:tcPr>
            <w:tcW w:w="1225" w:type="dxa"/>
            <w:vAlign w:val="center"/>
          </w:tcPr>
          <w:p>
            <w:pPr>
              <w:spacing w:line="300" w:lineRule="exact"/>
              <w:jc w:val="center"/>
              <w:rPr>
                <w:rFonts w:ascii="宋体" w:hAnsi="宋体" w:cs="宋体"/>
                <w:b/>
                <w:sz w:val="24"/>
              </w:rPr>
            </w:pPr>
            <w:r>
              <w:rPr>
                <w:rFonts w:hint="eastAsia" w:ascii="宋体" w:hAnsi="宋体" w:cs="宋体"/>
                <w:sz w:val="24"/>
              </w:rPr>
              <w:t>投标价格</w:t>
            </w:r>
          </w:p>
        </w:tc>
        <w:tc>
          <w:tcPr>
            <w:tcW w:w="986" w:type="dxa"/>
            <w:vAlign w:val="center"/>
          </w:tcPr>
          <w:p>
            <w:pPr>
              <w:spacing w:line="300" w:lineRule="exact"/>
              <w:jc w:val="center"/>
              <w:rPr>
                <w:rFonts w:ascii="宋体" w:hAnsi="宋体" w:cs="宋体"/>
                <w:b/>
                <w:sz w:val="24"/>
              </w:rPr>
            </w:pPr>
            <w:r>
              <w:rPr>
                <w:rFonts w:hint="eastAsia" w:ascii="宋体" w:hAnsi="宋体" w:cs="宋体"/>
                <w:sz w:val="24"/>
              </w:rPr>
              <w:t>50</w:t>
            </w:r>
          </w:p>
        </w:tc>
        <w:tc>
          <w:tcPr>
            <w:tcW w:w="5898" w:type="dxa"/>
            <w:vAlign w:val="center"/>
          </w:tcPr>
          <w:p>
            <w:pPr>
              <w:spacing w:line="360" w:lineRule="exact"/>
              <w:rPr>
                <w:rFonts w:ascii="宋体" w:hAnsi="宋体" w:cs="宋体"/>
                <w:b/>
                <w:sz w:val="24"/>
              </w:rPr>
            </w:pPr>
            <w:r>
              <w:rPr>
                <w:rFonts w:hint="eastAsia" w:ascii="宋体" w:hAnsi="宋体" w:cs="宋体"/>
                <w:sz w:val="24"/>
              </w:rPr>
              <w:t>价格分统一采用低价优先法,即满足招标文件要求且投标价格最低的投标报价为评标基准价,其价格分为满分50分。其他投标供应商的价格为统一按照下列公式计算：投标报价得分=(评标基准价/投标报价)*50。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restart"/>
            <w:vAlign w:val="center"/>
          </w:tcPr>
          <w:p>
            <w:pPr>
              <w:autoSpaceDN w:val="0"/>
              <w:spacing w:line="300" w:lineRule="exact"/>
              <w:jc w:val="center"/>
              <w:textAlignment w:val="center"/>
              <w:rPr>
                <w:rFonts w:ascii="宋体" w:hAnsi="宋体" w:cs="宋体"/>
                <w:sz w:val="24"/>
              </w:rPr>
            </w:pPr>
            <w:r>
              <w:rPr>
                <w:rFonts w:hint="eastAsia" w:ascii="宋体" w:hAnsi="宋体" w:cs="宋体"/>
                <w:sz w:val="24"/>
              </w:rPr>
              <w:t>技术分(50分)</w:t>
            </w: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cs="宋体"/>
                <w:sz w:val="24"/>
              </w:rPr>
              <w:t>企业综合实力及履约能力证明</w:t>
            </w:r>
          </w:p>
        </w:tc>
        <w:tc>
          <w:tcPr>
            <w:tcW w:w="986" w:type="dxa"/>
            <w:vAlign w:val="center"/>
          </w:tcPr>
          <w:p>
            <w:pPr>
              <w:spacing w:line="300" w:lineRule="exact"/>
              <w:jc w:val="center"/>
              <w:rPr>
                <w:rFonts w:ascii="宋体" w:hAnsi="宋体" w:eastAsia="宋体" w:cs="宋体"/>
                <w:sz w:val="24"/>
              </w:rPr>
            </w:pPr>
            <w:r>
              <w:rPr>
                <w:rFonts w:hint="eastAsia" w:ascii="宋体" w:hAnsi="宋体" w:cs="宋体"/>
                <w:sz w:val="24"/>
              </w:rPr>
              <w:t>10</w:t>
            </w:r>
          </w:p>
        </w:tc>
        <w:tc>
          <w:tcPr>
            <w:tcW w:w="5898" w:type="dxa"/>
            <w:vAlign w:val="center"/>
          </w:tcPr>
          <w:p>
            <w:pPr>
              <w:autoSpaceDE w:val="0"/>
              <w:autoSpaceDN w:val="0"/>
              <w:adjustRightInd w:val="0"/>
              <w:spacing w:line="360" w:lineRule="exact"/>
              <w:jc w:val="left"/>
              <w:rPr>
                <w:rFonts w:ascii="宋体" w:hAnsi="宋体" w:eastAsia="宋体" w:cs="宋体"/>
                <w:sz w:val="24"/>
              </w:rPr>
            </w:pPr>
            <w:r>
              <w:rPr>
                <w:rFonts w:hint="eastAsia" w:ascii="宋体" w:hAnsi="宋体" w:cs="宋体"/>
                <w:sz w:val="24"/>
              </w:rPr>
              <w:t>投标人自持场地，经营场所，仓储能力，备货能力等实力，专家进行横向比较，按四个等级评分，满分10分，优8~10分，良5~7分，中2~4分，差0~2分。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040" w:type="dxa"/>
            <w:vMerge w:val="continue"/>
            <w:vAlign w:val="center"/>
          </w:tcPr>
          <w:p>
            <w:pPr>
              <w:autoSpaceDN w:val="0"/>
              <w:spacing w:line="360" w:lineRule="auto"/>
              <w:jc w:val="center"/>
              <w:textAlignment w:val="center"/>
              <w:rPr>
                <w:rFonts w:ascii="宋体" w:hAnsi="宋体" w:cs="宋体"/>
                <w:sz w:val="24"/>
              </w:rPr>
            </w:pPr>
          </w:p>
        </w:tc>
        <w:tc>
          <w:tcPr>
            <w:tcW w:w="1225" w:type="dxa"/>
            <w:vAlign w:val="center"/>
          </w:tcPr>
          <w:p>
            <w:pPr>
              <w:autoSpaceDN w:val="0"/>
              <w:spacing w:line="300" w:lineRule="exact"/>
              <w:jc w:val="center"/>
              <w:textAlignment w:val="center"/>
              <w:rPr>
                <w:rFonts w:ascii="宋体" w:hAnsi="宋体" w:eastAsia="宋体" w:cs="宋体"/>
                <w:sz w:val="24"/>
              </w:rPr>
            </w:pPr>
            <w:r>
              <w:rPr>
                <w:rFonts w:hint="eastAsia" w:ascii="宋体" w:hAnsi="宋体" w:cs="宋体"/>
                <w:sz w:val="24"/>
              </w:rPr>
              <w:t>产品质量承诺及具体服务方案</w:t>
            </w:r>
          </w:p>
        </w:tc>
        <w:tc>
          <w:tcPr>
            <w:tcW w:w="986" w:type="dxa"/>
            <w:vAlign w:val="center"/>
          </w:tcPr>
          <w:p>
            <w:pPr>
              <w:spacing w:line="300" w:lineRule="exact"/>
              <w:jc w:val="center"/>
              <w:rPr>
                <w:rFonts w:ascii="宋体" w:hAnsi="宋体" w:cs="宋体"/>
                <w:sz w:val="24"/>
              </w:rPr>
            </w:pPr>
            <w:r>
              <w:rPr>
                <w:rFonts w:hint="eastAsia" w:ascii="宋体" w:hAnsi="宋体" w:cs="宋体"/>
                <w:sz w:val="24"/>
              </w:rPr>
              <w:t>20</w:t>
            </w:r>
          </w:p>
        </w:tc>
        <w:tc>
          <w:tcPr>
            <w:tcW w:w="5898" w:type="dxa"/>
            <w:vAlign w:val="center"/>
          </w:tcPr>
          <w:p>
            <w:pPr>
              <w:widowControl/>
              <w:rPr>
                <w:rFonts w:hint="eastAsia"/>
                <w:spacing w:val="-6"/>
                <w:sz w:val="24"/>
              </w:rPr>
            </w:pPr>
            <w:r>
              <w:rPr>
                <w:rFonts w:hint="eastAsia"/>
                <w:spacing w:val="-6"/>
                <w:sz w:val="24"/>
              </w:rPr>
              <w:t>根据投标人提供的</w:t>
            </w:r>
            <w:r>
              <w:rPr>
                <w:rFonts w:hint="eastAsia"/>
                <w:sz w:val="24"/>
              </w:rPr>
              <w:t>产品质量承诺函及售后服务方案</w:t>
            </w:r>
            <w:r>
              <w:rPr>
                <w:rFonts w:hint="eastAsia"/>
                <w:spacing w:val="-6"/>
                <w:sz w:val="24"/>
              </w:rPr>
              <w:t>进行综合评比，</w:t>
            </w:r>
          </w:p>
          <w:p>
            <w:pPr>
              <w:pStyle w:val="9"/>
              <w:numPr>
                <w:ilvl w:val="0"/>
                <w:numId w:val="1"/>
              </w:numPr>
              <w:spacing w:line="360" w:lineRule="exact"/>
              <w:ind w:firstLineChars="0"/>
              <w:rPr>
                <w:rFonts w:hint="eastAsia"/>
                <w:sz w:val="24"/>
              </w:rPr>
            </w:pPr>
            <w:r>
              <w:rPr>
                <w:rFonts w:hint="eastAsia"/>
                <w:sz w:val="24"/>
              </w:rPr>
              <w:t>投标人提供产品质量承诺函的得4分，不提供的得0分；</w:t>
            </w:r>
          </w:p>
          <w:p>
            <w:pPr>
              <w:pStyle w:val="9"/>
              <w:numPr>
                <w:ilvl w:val="0"/>
                <w:numId w:val="1"/>
              </w:numPr>
              <w:spacing w:line="360" w:lineRule="exact"/>
              <w:ind w:firstLineChars="0"/>
              <w:rPr>
                <w:sz w:val="24"/>
              </w:rPr>
            </w:pPr>
            <w:r>
              <w:rPr>
                <w:rFonts w:hint="eastAsia"/>
                <w:sz w:val="24"/>
              </w:rPr>
              <w:t>交货时效性：接甲方供货电话后1日内供货到位的得4分，每超1日扣1分，超过4日不得分。</w:t>
            </w:r>
          </w:p>
          <w:p>
            <w:pPr>
              <w:widowControl/>
              <w:numPr>
                <w:ilvl w:val="0"/>
                <w:numId w:val="1"/>
              </w:numPr>
              <w:rPr>
                <w:spacing w:val="-6"/>
                <w:sz w:val="24"/>
              </w:rPr>
            </w:pPr>
            <w:r>
              <w:rPr>
                <w:rFonts w:hint="eastAsia"/>
                <w:spacing w:val="-6"/>
                <w:sz w:val="24"/>
              </w:rPr>
              <w:t>本地有固定经营场所的得5分，无本地服务的不得分</w:t>
            </w:r>
          </w:p>
          <w:p>
            <w:pPr>
              <w:widowControl/>
              <w:numPr>
                <w:ilvl w:val="0"/>
                <w:numId w:val="1"/>
              </w:numPr>
              <w:rPr>
                <w:spacing w:val="-6"/>
                <w:sz w:val="24"/>
              </w:rPr>
            </w:pPr>
            <w:r>
              <w:rPr>
                <w:rFonts w:hint="eastAsia"/>
                <w:spacing w:val="-6"/>
                <w:sz w:val="24"/>
              </w:rPr>
              <w:t>售后服务网点距本院距离5公里范围内的得3分，每超出2.5公里扣1分，10公里范围外不得分。</w:t>
            </w:r>
          </w:p>
          <w:p>
            <w:pPr>
              <w:widowControl/>
              <w:numPr>
                <w:ilvl w:val="0"/>
                <w:numId w:val="1"/>
              </w:numPr>
              <w:rPr>
                <w:spacing w:val="-6"/>
                <w:sz w:val="24"/>
              </w:rPr>
            </w:pPr>
            <w:r>
              <w:rPr>
                <w:rFonts w:hint="eastAsia"/>
                <w:spacing w:val="-6"/>
                <w:sz w:val="24"/>
              </w:rPr>
              <w:t>售后服务及应急情况处理时间小于30分钟的得4分，30~60分钟得2分，﹥60分钟不得分。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vAlign w:val="center"/>
          </w:tcPr>
          <w:p>
            <w:pPr>
              <w:autoSpaceDN w:val="0"/>
              <w:spacing w:line="360" w:lineRule="auto"/>
              <w:jc w:val="center"/>
              <w:textAlignment w:val="center"/>
              <w:rPr>
                <w:rFonts w:ascii="宋体" w:hAnsi="宋体" w:cs="宋体"/>
                <w:sz w:val="24"/>
              </w:rPr>
            </w:pPr>
          </w:p>
        </w:tc>
        <w:tc>
          <w:tcPr>
            <w:tcW w:w="1225" w:type="dxa"/>
            <w:vAlign w:val="center"/>
          </w:tcPr>
          <w:p>
            <w:pPr>
              <w:autoSpaceDN w:val="0"/>
              <w:spacing w:line="300" w:lineRule="exact"/>
              <w:jc w:val="center"/>
              <w:textAlignment w:val="center"/>
              <w:rPr>
                <w:rFonts w:ascii="宋体" w:hAnsi="宋体" w:cs="宋体"/>
                <w:sz w:val="24"/>
              </w:rPr>
            </w:pPr>
            <w:r>
              <w:rPr>
                <w:rFonts w:hint="eastAsia" w:ascii="宋体" w:hAnsi="宋体" w:cs="宋体"/>
                <w:sz w:val="24"/>
              </w:rPr>
              <w:t>业绩</w:t>
            </w:r>
          </w:p>
        </w:tc>
        <w:tc>
          <w:tcPr>
            <w:tcW w:w="986" w:type="dxa"/>
            <w:vAlign w:val="center"/>
          </w:tcPr>
          <w:p>
            <w:pPr>
              <w:spacing w:line="300" w:lineRule="exact"/>
              <w:jc w:val="center"/>
              <w:rPr>
                <w:rFonts w:ascii="宋体" w:hAnsi="宋体" w:cs="宋体"/>
                <w:sz w:val="24"/>
              </w:rPr>
            </w:pPr>
            <w:r>
              <w:rPr>
                <w:rFonts w:hint="eastAsia" w:ascii="宋体" w:hAnsi="宋体" w:cs="宋体"/>
                <w:sz w:val="24"/>
              </w:rPr>
              <w:t>12</w:t>
            </w:r>
          </w:p>
        </w:tc>
        <w:tc>
          <w:tcPr>
            <w:tcW w:w="5898" w:type="dxa"/>
            <w:vAlign w:val="center"/>
          </w:tcPr>
          <w:p>
            <w:pPr>
              <w:widowControl/>
              <w:rPr>
                <w:spacing w:val="-6"/>
                <w:sz w:val="24"/>
              </w:rPr>
            </w:pPr>
            <w:r>
              <w:rPr>
                <w:rFonts w:hint="eastAsia"/>
                <w:spacing w:val="-6"/>
                <w:sz w:val="24"/>
              </w:rPr>
              <w:t>近三年内（自2019年以来）相关政府企事业单位办公耗材销售业绩（以合同或中标通知书为准），每提供一个得3分，满分12分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40" w:type="dxa"/>
            <w:vMerge w:val="continue"/>
            <w:vAlign w:val="center"/>
          </w:tcPr>
          <w:p>
            <w:pPr>
              <w:autoSpaceDN w:val="0"/>
              <w:spacing w:line="360" w:lineRule="auto"/>
              <w:jc w:val="center"/>
              <w:textAlignment w:val="center"/>
              <w:rPr>
                <w:rFonts w:ascii="宋体" w:hAnsi="宋体" w:cs="宋体"/>
                <w:sz w:val="24"/>
              </w:rPr>
            </w:pPr>
          </w:p>
        </w:tc>
        <w:tc>
          <w:tcPr>
            <w:tcW w:w="1225" w:type="dxa"/>
            <w:vAlign w:val="center"/>
          </w:tcPr>
          <w:p>
            <w:pPr>
              <w:autoSpaceDN w:val="0"/>
              <w:spacing w:line="300" w:lineRule="exact"/>
              <w:jc w:val="center"/>
              <w:textAlignment w:val="center"/>
              <w:rPr>
                <w:rFonts w:ascii="宋体" w:hAnsi="宋体" w:cs="宋体"/>
                <w:sz w:val="24"/>
              </w:rPr>
            </w:pPr>
            <w:r>
              <w:rPr>
                <w:rFonts w:hint="eastAsia" w:ascii="宋体" w:hAnsi="宋体" w:cs="宋体"/>
                <w:sz w:val="24"/>
              </w:rPr>
              <w:t>优惠承诺</w:t>
            </w:r>
          </w:p>
        </w:tc>
        <w:tc>
          <w:tcPr>
            <w:tcW w:w="986" w:type="dxa"/>
            <w:vAlign w:val="center"/>
          </w:tcPr>
          <w:p>
            <w:pPr>
              <w:spacing w:line="300" w:lineRule="exact"/>
              <w:jc w:val="center"/>
              <w:rPr>
                <w:rFonts w:ascii="宋体" w:hAnsi="宋体" w:cs="宋体"/>
                <w:sz w:val="24"/>
              </w:rPr>
            </w:pPr>
            <w:r>
              <w:rPr>
                <w:rFonts w:hint="eastAsia" w:ascii="宋体" w:hAnsi="宋体" w:cs="宋体"/>
                <w:sz w:val="24"/>
              </w:rPr>
              <w:t>8</w:t>
            </w:r>
          </w:p>
        </w:tc>
        <w:tc>
          <w:tcPr>
            <w:tcW w:w="5898" w:type="dxa"/>
            <w:vAlign w:val="center"/>
          </w:tcPr>
          <w:p>
            <w:pPr>
              <w:widowControl/>
              <w:rPr>
                <w:spacing w:val="-6"/>
                <w:sz w:val="24"/>
              </w:rPr>
            </w:pPr>
            <w:r>
              <w:rPr>
                <w:rFonts w:hint="eastAsia"/>
                <w:spacing w:val="-6"/>
                <w:sz w:val="24"/>
              </w:rPr>
              <w:t>对于后续出现非本次招标内产品使用耗材，根据京东</w:t>
            </w:r>
            <w:r>
              <w:rPr>
                <w:rFonts w:hint="eastAsia"/>
                <w:spacing w:val="-6"/>
                <w:sz w:val="24"/>
                <w:lang w:eastAsia="zh-CN"/>
              </w:rPr>
              <w:t>商城</w:t>
            </w:r>
            <w:r>
              <w:rPr>
                <w:rFonts w:hint="eastAsia"/>
                <w:spacing w:val="-6"/>
                <w:sz w:val="24"/>
              </w:rPr>
              <w:t>天威自营店销售价格承诺按比例</w:t>
            </w:r>
            <w:bookmarkStart w:id="0" w:name="_GoBack"/>
            <w:bookmarkEnd w:id="0"/>
            <w:r>
              <w:rPr>
                <w:rFonts w:hint="eastAsia"/>
                <w:spacing w:val="-6"/>
                <w:sz w:val="24"/>
              </w:rPr>
              <w:t>下浮进行供应，每下降3%得2分，满分8分。</w:t>
            </w:r>
          </w:p>
        </w:tc>
      </w:tr>
    </w:tbl>
    <w:p/>
    <w:sectPr>
      <w:pgSz w:w="11906" w:h="16838"/>
      <w:pgMar w:top="144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2BD3E"/>
    <w:multiLevelType w:val="singleLevel"/>
    <w:tmpl w:val="6872BD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DNkYmI0OWI4NmI0N2I4YzNlMTg1MjMwYjJlNmIifQ=="/>
  </w:docVars>
  <w:rsids>
    <w:rsidRoot w:val="5C9E66D8"/>
    <w:rsid w:val="464A1F9B"/>
    <w:rsid w:val="5C9E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jc w:val="left"/>
    </w:pPr>
    <w:rPr>
      <w:rFonts w:ascii="Arial" w:hAnsi="Arial" w:eastAsia="黑体"/>
      <w:b/>
      <w:sz w:val="32"/>
      <w:szCs w:val="20"/>
    </w:r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6">
    <w:name w:val="Body Text First Indent"/>
    <w:basedOn w:val="3"/>
    <w:qFormat/>
    <w:uiPriority w:val="0"/>
    <w:pPr>
      <w:autoSpaceDE w:val="0"/>
      <w:autoSpaceDN w:val="0"/>
      <w:adjustRightInd w:val="0"/>
      <w:spacing w:line="360" w:lineRule="auto"/>
      <w:ind w:right="-24" w:rightChars="-10" w:firstLine="425" w:firstLineChars="225"/>
    </w:pPr>
    <w:rPr>
      <w:rFonts w:eastAsia="仿宋_GB2312" w:cs="Arial"/>
      <w:kern w:val="0"/>
      <w:sz w:val="24"/>
      <w:szCs w:val="32"/>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767</Words>
  <Characters>808</Characters>
  <Lines>0</Lines>
  <Paragraphs>0</Paragraphs>
  <TotalTime>1</TotalTime>
  <ScaleCrop>false</ScaleCrop>
  <LinksUpToDate>false</LinksUpToDate>
  <CharactersWithSpaces>812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2022-09-02T02:36:00Z</dcterms:created>
  <dc:creator>Administrator</dc:creator>
  <cp:lastModifiedBy>Administrator</cp:lastModifiedBy>
  <dcterms:modified xsi:type="dcterms:W3CDTF">2022-09-02T02:54:31Z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927857A9D0BE44B9BA05BDAB822E47A8</vt:lpwstr>
  </property>
</Properties>
</file>