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</w:t>
            </w:r>
            <w:r>
              <w:rPr>
                <w:rFonts w:hint="eastAsia" w:hAnsi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门诊涂料及大理石维修工程采购项目</w:t>
            </w:r>
          </w:p>
          <w:p>
            <w:pPr>
              <w:pStyle w:val="2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：HQEY-202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2ZW0819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2"/>
              <w:spacing w:line="360" w:lineRule="exac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10:00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门诊楼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cs="宋体"/>
                <w:sz w:val="24"/>
                <w:lang w:val="en-US" w:eastAsia="zh-CN"/>
              </w:rPr>
              <w:t>不低于贰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经审计公司审计后付总款的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95%，余5%质保期满后一次性无息付清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现场勘察：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由投标方自行勘察现场，对工程量清单有质疑的，可在咨询时间内向招标人提请现场组织勘察。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22CB732B"/>
    <w:rsid w:val="3ADF2A99"/>
    <w:rsid w:val="541C2B5B"/>
    <w:rsid w:val="64624529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416</Characters>
  <Lines>0</Lines>
  <Paragraphs>0</Paragraphs>
  <TotalTime>1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dcterms:modified xsi:type="dcterms:W3CDTF">2022-08-21T08:00:30Z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FE87018EBD1B4F959AE428D4FC78B1F0</vt:lpwstr>
  </property>
</Properties>
</file>