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附件三：评标办法及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询价文件实质性要求（包含资格条件、采购内容、付款方式、技术参数、项目完成期等）前提下，根据各家投标报价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（2）如果最低报价出现两家或两家以上者，则通过询价小组评审确定成交人。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询价文件的实质性要求；②报价是否会降低本询价文件规定的质量、服务内容等；③报价是否会低于投标成本；④是否有重大缺项漏项或错项。投标人不得以低于成本价的价格投标；不合理的低价投标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2、询价过程中，如果询价小组一致认定投标人报价不合理的，可以要求投标人提供合理说明，否则询价小组可以认定其报价无效，取消投标资格。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本项目</w:t>
      </w:r>
      <w:r>
        <w:rPr>
          <w:rFonts w:hint="eastAsia" w:ascii="宋体" w:hAnsi="宋体"/>
          <w:sz w:val="24"/>
          <w:szCs w:val="24"/>
        </w:rPr>
        <w:t>只允许有一个报价，多报价的标书将不被接受。投标文件请胶装密封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。所投产品请注明产品名称、规格型号、生产厂家、注册证号（或备案号）、单位及价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7"/>
        <w:tblpPr w:leftFromText="180" w:rightFromText="180" w:vertAnchor="text" w:horzAnchor="page" w:tblpX="1614" w:tblpY="488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30"/>
        <w:gridCol w:w="765"/>
        <w:gridCol w:w="1245"/>
        <w:gridCol w:w="123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价格（元）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注册证号（或备案号）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D2A7909"/>
    <w:rsid w:val="3D2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2022-06-14T06:43:00Z</dcterms:created>
  <dc:creator>笨鸟先飞</dc:creator>
  <cp:lastModifiedBy>笨鸟先飞</cp:lastModifiedBy>
  <dcterms:modified xsi:type="dcterms:W3CDTF">2022-06-14T06:44:05Z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EDE4A1C1A5A64E3C92B91A78CDD353BA</vt:lpwstr>
  </property>
</Properties>
</file>