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before="0" w:after="0" w:line="360" w:lineRule="auto"/>
        <w:jc w:val="left"/>
        <w:rPr>
          <w:rFonts w:hint="default" w:ascii="宋体" w:hAnsi="宋体" w:eastAsia="宋体"/>
          <w:sz w:val="24"/>
          <w:szCs w:val="24"/>
          <w:lang w:val="en-US" w:eastAsia="zh-CN"/>
        </w:rPr>
      </w:pPr>
      <w:r>
        <w:rPr>
          <w:rFonts w:hint="eastAsia" w:ascii="宋体" w:hAnsi="宋体" w:eastAsia="宋体"/>
          <w:sz w:val="24"/>
          <w:szCs w:val="24"/>
          <w:lang w:eastAsia="zh-CN"/>
        </w:rPr>
        <w:t>附件</w:t>
      </w:r>
      <w:r>
        <w:rPr>
          <w:rFonts w:hint="eastAsia" w:ascii="宋体" w:hAnsi="宋体" w:eastAsia="宋体"/>
          <w:sz w:val="24"/>
          <w:szCs w:val="24"/>
          <w:lang w:val="en-US" w:eastAsia="zh-CN"/>
        </w:rPr>
        <w:t>3：</w:t>
      </w:r>
    </w:p>
    <w:p>
      <w:pPr>
        <w:pStyle w:val="3"/>
        <w:numPr>
          <w:numId w:val="0"/>
        </w:numPr>
        <w:spacing w:before="0" w:after="0" w:line="360" w:lineRule="auto"/>
        <w:jc w:val="center"/>
        <w:rPr>
          <w:rFonts w:hint="eastAsia" w:ascii="宋体" w:hAnsi="宋体" w:eastAsia="宋体"/>
        </w:rPr>
      </w:pPr>
      <w:r>
        <w:rPr>
          <w:rFonts w:hint="eastAsia" w:ascii="宋体" w:hAnsi="宋体" w:eastAsia="宋体"/>
        </w:rPr>
        <w:t>评标办法及评分细则</w:t>
      </w:r>
    </w:p>
    <w:p>
      <w:pPr>
        <w:pStyle w:val="3"/>
        <w:numPr>
          <w:ilvl w:val="0"/>
          <w:numId w:val="0"/>
        </w:numPr>
        <w:spacing w:before="0" w:after="0" w:line="360" w:lineRule="auto"/>
        <w:jc w:val="center"/>
        <w:rPr>
          <w:rFonts w:hint="eastAsia"/>
          <w:b w:val="0"/>
          <w:bCs w:val="0"/>
          <w:sz w:val="24"/>
          <w:szCs w:val="24"/>
        </w:rPr>
      </w:pPr>
      <w:r>
        <w:rPr>
          <w:rFonts w:hint="eastAsia" w:ascii="宋体" w:hAnsi="宋体"/>
          <w:b w:val="0"/>
          <w:bCs w:val="0"/>
          <w:sz w:val="24"/>
          <w:szCs w:val="24"/>
        </w:rPr>
        <w:t>(一)评标办法</w:t>
      </w:r>
    </w:p>
    <w:p>
      <w:pPr>
        <w:spacing w:before="159" w:beforeLines="50" w:after="159" w:afterLines="50" w:line="500" w:lineRule="exact"/>
        <w:ind w:firstLine="480" w:firstLineChars="200"/>
        <w:rPr>
          <w:rFonts w:hint="eastAsia" w:ascii="宋体" w:hAnsi="宋体"/>
          <w:bCs/>
          <w:sz w:val="24"/>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spacing w:before="159" w:beforeLines="50" w:after="159" w:afterLines="50" w:line="500" w:lineRule="exact"/>
        <w:ind w:firstLine="480" w:firstLineChars="200"/>
        <w:jc w:val="center"/>
        <w:rPr>
          <w:rFonts w:hint="eastAsia"/>
        </w:rPr>
      </w:pPr>
      <w:r>
        <w:rPr>
          <w:rFonts w:hint="eastAsia" w:ascii="宋体" w:hAnsi="宋体" w:eastAsia="宋体"/>
          <w:sz w:val="24"/>
          <w:szCs w:val="24"/>
        </w:rPr>
        <w:t>(二)评分细则</w:t>
      </w:r>
    </w:p>
    <w:tbl>
      <w:tblPr>
        <w:tblStyle w:val="5"/>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6"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noWrap w:val="0"/>
            <w:vAlign w:val="center"/>
          </w:tcPr>
          <w:p>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6" w:type="dxa"/>
            <w:noWrap w:val="0"/>
            <w:vAlign w:val="center"/>
          </w:tcPr>
          <w:p>
            <w:pPr>
              <w:spacing w:line="300" w:lineRule="exact"/>
              <w:jc w:val="center"/>
              <w:rPr>
                <w:rFonts w:hint="eastAsia" w:ascii="宋体" w:hAnsi="宋体" w:cs="宋体"/>
                <w:b/>
                <w:sz w:val="24"/>
              </w:rPr>
            </w:pPr>
            <w:r>
              <w:rPr>
                <w:rFonts w:hint="eastAsia" w:ascii="宋体" w:hAnsi="宋体" w:cs="宋体"/>
                <w:sz w:val="24"/>
                <w:lang w:val="en-US" w:eastAsia="zh-CN"/>
              </w:rPr>
              <w:t>50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4"/>
              </w:rPr>
            </w:pPr>
            <w:r>
              <w:rPr>
                <w:rFonts w:hint="eastAsia" w:ascii="宋体" w:hAnsi="宋体" w:eastAsia="宋体" w:cs="宋体"/>
                <w:sz w:val="24"/>
              </w:rPr>
              <w:t>价格分统一采用低价优先法</w:t>
            </w:r>
            <w:r>
              <w:rPr>
                <w:rFonts w:hint="eastAsia" w:ascii="宋体" w:hAnsi="宋体" w:eastAsia="宋体" w:cs="宋体"/>
                <w:sz w:val="24"/>
                <w:lang w:eastAsia="zh-CN"/>
              </w:rPr>
              <w:t>,</w:t>
            </w:r>
            <w:r>
              <w:rPr>
                <w:rFonts w:hint="eastAsia" w:ascii="宋体" w:hAnsi="宋体" w:eastAsia="宋体" w:cs="宋体"/>
                <w:sz w:val="24"/>
              </w:rPr>
              <w:t>即满足招标文件要求且投标价格最低的投标报价为评标基准价</w:t>
            </w:r>
            <w:r>
              <w:rPr>
                <w:rFonts w:hint="eastAsia" w:ascii="宋体" w:hAnsi="宋体" w:eastAsia="宋体" w:cs="宋体"/>
                <w:sz w:val="24"/>
                <w:lang w:eastAsia="zh-CN"/>
              </w:rPr>
              <w:t>,</w:t>
            </w:r>
            <w:r>
              <w:rPr>
                <w:rFonts w:hint="eastAsia" w:ascii="宋体" w:hAnsi="宋体" w:eastAsia="宋体" w:cs="宋体"/>
                <w:sz w:val="24"/>
              </w:rPr>
              <w:t>其价格分为满分</w:t>
            </w:r>
            <w:r>
              <w:rPr>
                <w:rFonts w:hint="eastAsia" w:ascii="宋体" w:hAnsi="宋体" w:eastAsia="宋体" w:cs="宋体"/>
                <w:sz w:val="24"/>
                <w:lang w:val="en-US" w:eastAsia="zh-CN"/>
              </w:rPr>
              <w:t>5</w:t>
            </w:r>
            <w:r>
              <w:rPr>
                <w:rFonts w:hint="eastAsia" w:ascii="宋体" w:hAnsi="宋体" w:eastAsia="宋体" w:cs="宋体"/>
                <w:sz w:val="24"/>
              </w:rPr>
              <w:t>0分。其他投标供应商的价格为统一按照下列公式计算：投标报价得分=</w:t>
            </w:r>
            <w:r>
              <w:rPr>
                <w:rFonts w:hint="eastAsia" w:ascii="宋体" w:hAnsi="宋体" w:eastAsia="宋体" w:cs="宋体"/>
                <w:sz w:val="24"/>
                <w:lang w:eastAsia="zh-CN"/>
              </w:rPr>
              <w:t>(</w:t>
            </w:r>
            <w:r>
              <w:rPr>
                <w:rFonts w:hint="eastAsia" w:ascii="宋体" w:hAnsi="宋体" w:eastAsia="宋体" w:cs="宋体"/>
                <w:sz w:val="24"/>
              </w:rPr>
              <w:t>评标基准价/投标报价</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noWrap w:val="0"/>
            <w:vAlign w:val="center"/>
          </w:tcPr>
          <w:p>
            <w:pPr>
              <w:autoSpaceDN w:val="0"/>
              <w:spacing w:line="300" w:lineRule="exact"/>
              <w:jc w:val="center"/>
              <w:textAlignment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技术参数</w:t>
            </w:r>
            <w:r>
              <w:rPr>
                <w:rFonts w:hint="eastAsia" w:ascii="宋体" w:hAnsi="宋体" w:cs="宋体"/>
                <w:sz w:val="24"/>
                <w:lang w:eastAsia="zh-CN"/>
              </w:rPr>
              <w:t>响应情况</w:t>
            </w:r>
          </w:p>
        </w:tc>
        <w:tc>
          <w:tcPr>
            <w:tcW w:w="986" w:type="dxa"/>
            <w:noWrap w:val="0"/>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25</w:t>
            </w:r>
          </w:p>
        </w:tc>
        <w:tc>
          <w:tcPr>
            <w:tcW w:w="5898" w:type="dxa"/>
            <w:noWrap w:val="0"/>
            <w:vAlign w:val="center"/>
          </w:tcPr>
          <w:p>
            <w:pPr>
              <w:pStyle w:val="4"/>
              <w:rPr>
                <w:rFonts w:hint="default" w:eastAsia="宋体"/>
                <w:lang w:val="en-US" w:eastAsia="zh-CN"/>
              </w:rPr>
            </w:pPr>
            <w:r>
              <w:rPr>
                <w:rFonts w:hint="eastAsia" w:ascii="宋体" w:hAnsi="宋体" w:eastAsia="宋体" w:cs="宋体"/>
                <w:color w:val="auto"/>
                <w:sz w:val="24"/>
                <w:szCs w:val="24"/>
              </w:rPr>
              <w:t xml:space="preserve">本项满分为 </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r>
              <w:rPr>
                <w:rFonts w:hint="eastAsia"/>
                <w:sz w:val="24"/>
              </w:rPr>
              <w:t>评委将根据投标人提供的设备技术参数响应表，对照招标要求的技术参数进行比较。核心参数（“★”号项）不满足，每条参数</w:t>
            </w:r>
            <w:bookmarkStart w:id="0" w:name="_GoBack"/>
            <w:bookmarkEnd w:id="0"/>
            <w:r>
              <w:rPr>
                <w:rFonts w:hint="eastAsia"/>
                <w:sz w:val="24"/>
              </w:rPr>
              <w:t>扣</w:t>
            </w:r>
            <w:r>
              <w:rPr>
                <w:rFonts w:hint="eastAsia"/>
                <w:sz w:val="24"/>
                <w:lang w:val="en-US" w:eastAsia="zh-CN"/>
              </w:rPr>
              <w:t>:5</w:t>
            </w:r>
            <w:r>
              <w:rPr>
                <w:rFonts w:hint="eastAsia"/>
                <w:sz w:val="24"/>
              </w:rPr>
              <w:t>分；非核心产品参数（非“★”号项）不满足，每条参数扣 1分，扣完为止。</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color w:val="FF0000"/>
                <w:sz w:val="24"/>
                <w:szCs w:val="24"/>
              </w:rPr>
              <w:t>（★参数及正偏离参数在投标文件中需提供相应支撑材料（包括但不限于产品彩页，检测报告，技术白皮书等）</w:t>
            </w:r>
            <w:r>
              <w:rPr>
                <w:rFonts w:hint="eastAsia" w:ascii="宋体" w:hAnsi="宋体" w:eastAsia="宋体" w:cs="宋体"/>
                <w:color w:val="auto"/>
                <w:sz w:val="24"/>
                <w:szCs w:val="24"/>
              </w:rPr>
              <w:t>并标注页码，</w:t>
            </w:r>
            <w:r>
              <w:rPr>
                <w:rFonts w:hint="eastAsia" w:ascii="宋体" w:hAnsi="宋体" w:eastAsia="宋体" w:cs="宋体"/>
                <w:color w:val="FF0000"/>
                <w:sz w:val="24"/>
                <w:szCs w:val="24"/>
              </w:rPr>
              <w:t>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产品影响力及产品美观度</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898"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Chars="0"/>
              <w:textAlignment w:val="auto"/>
              <w:rPr>
                <w:rFonts w:hint="eastAsia" w:ascii="宋体" w:hAnsi="宋体" w:eastAsia="宋体" w:cs="宋体"/>
                <w:lang w:val="en-US" w:eastAsia="zh-CN"/>
              </w:rPr>
            </w:pPr>
            <w:r>
              <w:rPr>
                <w:rFonts w:hint="eastAsia" w:ascii="宋体" w:hAnsi="宋体" w:eastAsia="宋体" w:cs="宋体"/>
                <w:sz w:val="24"/>
                <w:szCs w:val="24"/>
              </w:rPr>
              <w:t>投标产品品牌、市场认可度：根据投标产品的品牌知名度、美誉度和市场</w:t>
            </w:r>
            <w:r>
              <w:rPr>
                <w:rFonts w:hint="eastAsia" w:ascii="宋体" w:hAnsi="宋体" w:eastAsia="宋体" w:cs="宋体"/>
                <w:sz w:val="24"/>
                <w:szCs w:val="24"/>
                <w:lang w:eastAsia="zh-CN"/>
              </w:rPr>
              <w:t>占有率等</w:t>
            </w:r>
            <w:r>
              <w:rPr>
                <w:rFonts w:hint="eastAsia" w:ascii="宋体" w:hAnsi="宋体" w:eastAsia="宋体" w:cs="宋体"/>
                <w:sz w:val="24"/>
                <w:szCs w:val="24"/>
              </w:rPr>
              <w:t>进行综合评价</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b w:val="0"/>
                <w:bCs w:val="0"/>
                <w:sz w:val="24"/>
                <w:szCs w:val="24"/>
                <w:lang w:val="en-US" w:eastAsia="zh-CN"/>
              </w:rPr>
              <w:t>2、产品美观度：根据产品外观与院区环境匹配度评委会综合评定（提供所投产品真实图片或彩页）5分。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质保及</w:t>
            </w:r>
            <w:r>
              <w:rPr>
                <w:rFonts w:hint="eastAsia" w:ascii="宋体" w:hAnsi="宋体" w:cs="宋体"/>
                <w:sz w:val="24"/>
              </w:rPr>
              <w:t>售后服务</w:t>
            </w:r>
            <w:r>
              <w:rPr>
                <w:rFonts w:hint="eastAsia" w:ascii="宋体" w:hAnsi="宋体" w:cs="宋体"/>
                <w:sz w:val="24"/>
                <w:lang w:eastAsia="zh-CN"/>
              </w:rPr>
              <w:t>维保方案</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898" w:type="dxa"/>
            <w:noWrap w:val="0"/>
            <w:vAlign w:val="center"/>
          </w:tcPr>
          <w:p>
            <w:pPr>
              <w:widowControl/>
              <w:autoSpaceDE/>
              <w:autoSpaceDN/>
              <w:jc w:val="both"/>
              <w:rPr>
                <w:rFonts w:hint="eastAsia" w:ascii="宋体" w:hAnsi="宋体" w:eastAsia="宋体" w:cs="宋体"/>
                <w:spacing w:val="-6"/>
                <w:lang w:val="en-US" w:eastAsia="zh-CN"/>
              </w:rPr>
            </w:pPr>
            <w:r>
              <w:rPr>
                <w:rFonts w:hint="eastAsia" w:ascii="宋体" w:hAnsi="宋体" w:eastAsia="宋体" w:cs="宋体"/>
                <w:b/>
                <w:sz w:val="24"/>
                <w:szCs w:val="24"/>
              </w:rPr>
              <w:t>质保期：</w:t>
            </w:r>
            <w:r>
              <w:rPr>
                <w:rFonts w:hint="eastAsia" w:ascii="宋体" w:hAnsi="宋体" w:eastAsia="宋体" w:cs="宋体"/>
                <w:spacing w:val="-8"/>
                <w:sz w:val="24"/>
                <w:szCs w:val="24"/>
              </w:rPr>
              <w:t>投标产品</w:t>
            </w:r>
            <w:r>
              <w:rPr>
                <w:rFonts w:hint="eastAsia" w:ascii="宋体" w:hAnsi="宋体" w:eastAsia="宋体" w:cs="宋体"/>
                <w:spacing w:val="-8"/>
                <w:sz w:val="24"/>
                <w:szCs w:val="24"/>
                <w:lang w:eastAsia="zh-CN"/>
              </w:rPr>
              <w:t>质保期为一年不得分，</w:t>
            </w:r>
            <w:r>
              <w:rPr>
                <w:rFonts w:hint="eastAsia" w:ascii="宋体" w:hAnsi="宋体" w:eastAsia="宋体" w:cs="宋体"/>
                <w:spacing w:val="-14"/>
                <w:sz w:val="24"/>
                <w:szCs w:val="24"/>
              </w:rPr>
              <w:t>每增加</w:t>
            </w:r>
            <w:r>
              <w:rPr>
                <w:rFonts w:hint="eastAsia" w:ascii="宋体" w:hAnsi="宋体" w:eastAsia="宋体" w:cs="宋体"/>
                <w:spacing w:val="-14"/>
                <w:sz w:val="24"/>
                <w:szCs w:val="24"/>
                <w:lang w:eastAsia="zh-CN"/>
              </w:rPr>
              <w:t>一</w:t>
            </w:r>
            <w:r>
              <w:rPr>
                <w:rFonts w:hint="eastAsia" w:ascii="宋体" w:hAnsi="宋体" w:eastAsia="宋体" w:cs="宋体"/>
                <w:spacing w:val="-14"/>
                <w:sz w:val="24"/>
                <w:szCs w:val="24"/>
              </w:rPr>
              <w:t xml:space="preserve">年得 </w:t>
            </w:r>
            <w:r>
              <w:rPr>
                <w:rFonts w:hint="eastAsia" w:ascii="宋体" w:hAnsi="宋体" w:eastAsia="宋体" w:cs="宋体"/>
                <w:sz w:val="24"/>
                <w:szCs w:val="24"/>
                <w:lang w:val="en-US" w:eastAsia="zh-CN"/>
              </w:rPr>
              <w:t>3</w:t>
            </w:r>
            <w:r>
              <w:rPr>
                <w:rFonts w:hint="eastAsia" w:ascii="宋体" w:hAnsi="宋体" w:eastAsia="宋体" w:cs="宋体"/>
                <w:spacing w:val="-16"/>
                <w:sz w:val="24"/>
                <w:szCs w:val="24"/>
              </w:rPr>
              <w:t>分，最高</w:t>
            </w:r>
            <w:r>
              <w:rPr>
                <w:rFonts w:hint="eastAsia" w:ascii="宋体" w:hAnsi="宋体" w:eastAsia="宋体" w:cs="宋体"/>
                <w:spacing w:val="-20"/>
                <w:sz w:val="24"/>
                <w:szCs w:val="24"/>
              </w:rPr>
              <w:t>得分</w:t>
            </w:r>
            <w:r>
              <w:rPr>
                <w:rFonts w:hint="eastAsia" w:ascii="宋体" w:hAnsi="宋体" w:eastAsia="宋体" w:cs="宋体"/>
                <w:spacing w:val="-20"/>
                <w:sz w:val="24"/>
                <w:szCs w:val="24"/>
                <w:lang w:val="en-US" w:eastAsia="zh-CN"/>
              </w:rPr>
              <w:t>6</w:t>
            </w:r>
            <w:r>
              <w:rPr>
                <w:rFonts w:hint="eastAsia" w:ascii="宋体" w:hAnsi="宋体" w:eastAsia="宋体" w:cs="宋体"/>
                <w:spacing w:val="-11"/>
                <w:sz w:val="24"/>
                <w:szCs w:val="24"/>
              </w:rPr>
              <w:t>分。以投标函中所报质保期为准，取整年数</w:t>
            </w:r>
            <w:r>
              <w:rPr>
                <w:rFonts w:hint="eastAsia" w:ascii="宋体" w:hAnsi="宋体" w:eastAsia="宋体" w:cs="宋体"/>
                <w:spacing w:val="-6"/>
                <w:sz w:val="24"/>
                <w:szCs w:val="24"/>
              </w:rPr>
              <w:t>。</w:t>
            </w:r>
            <w:r>
              <w:rPr>
                <w:rFonts w:hint="eastAsia" w:ascii="宋体" w:hAnsi="宋体" w:eastAsia="宋体" w:cs="宋体"/>
                <w:b/>
                <w:sz w:val="24"/>
                <w:szCs w:val="24"/>
              </w:rPr>
              <w:t>售后服务：</w:t>
            </w:r>
            <w:r>
              <w:rPr>
                <w:rFonts w:hint="eastAsia" w:ascii="宋体" w:hAnsi="宋体" w:eastAsia="宋体" w:cs="宋体"/>
                <w:spacing w:val="-8"/>
                <w:sz w:val="24"/>
                <w:szCs w:val="24"/>
              </w:rPr>
              <w:t>根据质保期内及质保期满后的售后服务方案及其他相关承诺及售后</w:t>
            </w:r>
            <w:r>
              <w:rPr>
                <w:rFonts w:hint="eastAsia" w:ascii="宋体" w:hAnsi="宋体" w:eastAsia="宋体" w:cs="宋体"/>
                <w:sz w:val="24"/>
                <w:szCs w:val="24"/>
              </w:rPr>
              <w:t>服务团队和技术人员情况进行综合评价。共</w:t>
            </w:r>
            <w:r>
              <w:rPr>
                <w:rFonts w:hint="eastAsia" w:ascii="宋体" w:hAnsi="宋体" w:eastAsia="宋体" w:cs="宋体"/>
                <w:sz w:val="24"/>
                <w:szCs w:val="24"/>
                <w:lang w:val="en-US" w:eastAsia="zh-CN"/>
              </w:rPr>
              <w:t>4</w:t>
            </w:r>
            <w:r>
              <w:rPr>
                <w:rFonts w:hint="eastAsia" w:ascii="宋体" w:hAnsi="宋体" w:eastAsia="宋体" w:cs="宋体"/>
                <w:spacing w:val="-3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cs="宋体"/>
                <w:sz w:val="24"/>
                <w:lang w:eastAsia="zh-CN"/>
              </w:rPr>
            </w:pPr>
            <w:r>
              <w:rPr>
                <w:rFonts w:hint="eastAsia" w:ascii="宋体" w:hAnsi="宋体" w:cs="宋体"/>
                <w:sz w:val="24"/>
                <w:lang w:eastAsia="zh-CN"/>
              </w:rPr>
              <w:t>业绩</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5</w:t>
            </w:r>
          </w:p>
        </w:tc>
        <w:tc>
          <w:tcPr>
            <w:tcW w:w="5898" w:type="dxa"/>
            <w:noWrap w:val="0"/>
            <w:vAlign w:val="center"/>
          </w:tcPr>
          <w:p>
            <w:pPr>
              <w:widowControl/>
              <w:autoSpaceDE/>
              <w:autoSpaceDN/>
              <w:jc w:val="both"/>
              <w:rPr>
                <w:rFonts w:hint="eastAsia" w:ascii="宋体" w:hAnsi="宋体" w:eastAsia="宋体" w:cs="宋体"/>
                <w:lang w:val="en-US" w:eastAsia="zh-CN"/>
              </w:rPr>
            </w:pPr>
            <w:r>
              <w:rPr>
                <w:rFonts w:hint="eastAsia" w:ascii="宋体" w:hAnsi="宋体" w:eastAsia="宋体" w:cs="宋体"/>
                <w:color w:val="FF0000"/>
                <w:u w:val="none"/>
                <w:lang w:eastAsia="zh-CN"/>
              </w:rPr>
              <w:t>自</w:t>
            </w:r>
            <w:r>
              <w:rPr>
                <w:rFonts w:hint="eastAsia" w:ascii="宋体" w:hAnsi="宋体" w:eastAsia="宋体" w:cs="宋体"/>
                <w:color w:val="FF0000"/>
                <w:u w:val="none"/>
                <w:lang w:val="en-US" w:eastAsia="zh-CN"/>
              </w:rPr>
              <w:t>2019年1月1日起，提供</w:t>
            </w:r>
            <w:r>
              <w:rPr>
                <w:rFonts w:hint="eastAsia"/>
                <w:lang w:val="en-US" w:eastAsia="zh-CN"/>
              </w:rPr>
              <w:t>医院采购自助设备或有关银医通软件相关业绩的</w:t>
            </w:r>
            <w:r>
              <w:rPr>
                <w:rFonts w:hint="eastAsia" w:ascii="宋体" w:hAnsi="宋体" w:eastAsia="宋体" w:cs="宋体"/>
                <w:color w:val="FF0000"/>
                <w:u w:val="none"/>
                <w:lang w:val="en-US" w:eastAsia="zh-CN"/>
              </w:rPr>
              <w:t>，每提供一个得1分，满分5分</w:t>
            </w:r>
            <w:r>
              <w:rPr>
                <w:rFonts w:hint="eastAsia" w:ascii="宋体" w:hAnsi="宋体" w:eastAsia="宋体" w:cs="宋体"/>
                <w:b/>
                <w:bCs/>
                <w:sz w:val="24"/>
              </w:rPr>
              <w:t>注：</w:t>
            </w:r>
            <w:r>
              <w:rPr>
                <w:rFonts w:hint="eastAsia" w:ascii="宋体" w:hAnsi="宋体" w:eastAsia="宋体" w:cs="宋体"/>
                <w:b/>
                <w:bCs/>
                <w:sz w:val="24"/>
                <w:lang w:eastAsia="zh-CN"/>
              </w:rPr>
              <w:t>投标文件中</w:t>
            </w:r>
            <w:r>
              <w:rPr>
                <w:rFonts w:hint="eastAsia" w:ascii="宋体" w:hAnsi="宋体" w:eastAsia="宋体" w:cs="宋体"/>
                <w:b/>
                <w:bCs/>
                <w:sz w:val="24"/>
              </w:rPr>
              <w:t>提供合同、中标通知书及验收单扫描件或影印件</w:t>
            </w:r>
            <w:r>
              <w:rPr>
                <w:rFonts w:hint="eastAsia" w:ascii="宋体" w:hAnsi="宋体" w:eastAsia="宋体" w:cs="宋体"/>
                <w:b/>
                <w:bCs/>
                <w:sz w:val="24"/>
                <w:lang w:eastAsia="zh-CN"/>
              </w:rPr>
              <w:t>,如合同或验收材料中无法体现产品名称、签订时间等内容,须另附业主盖章的证明文件。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CFDC9"/>
    <w:multiLevelType w:val="singleLevel"/>
    <w:tmpl w:val="FDFCFDC9"/>
    <w:lvl w:ilvl="0" w:tentative="0">
      <w:start w:val="1"/>
      <w:numFmt w:val="decimal"/>
      <w:suff w:val="nothing"/>
      <w:lvlText w:val="%1、"/>
      <w:lvlJc w:val="left"/>
      <w:pPr>
        <w:ind w:left="0"/>
      </w:pPr>
      <w:rPr>
        <w:rFonts w:hint="default" w:ascii="宋体" w:hAnsi="宋体"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B1C1E"/>
    <w:rsid w:val="34EB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等线" w:hAnsi="等线" w:eastAsia="等线" w:cs="等线"/>
      <w:kern w:val="0"/>
      <w:sz w:val="28"/>
      <w:szCs w:val="28"/>
      <w:lang w:val="zh-CN" w:bidi="zh-CN"/>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2022-03-02T01:24:00Z</dcterms:created>
  <dc:creator>18岁了很多年</dc:creator>
  <cp:lastModifiedBy>18岁了很多年</cp:lastModifiedBy>
  <dcterms:modified xsi:type="dcterms:W3CDTF">2022-03-02T01:29:39Z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095B0A4FCD9249E29E5735F533B805A8</vt:lpwstr>
  </property>
</Properties>
</file>