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ind w:left="107" w:leftChars="-27" w:hanging="164" w:hangingChars="68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银医多功能自助一体机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购安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pStyle w:val="2"/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：HQEY-202</w:t>
            </w: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2ZW0216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ind w:left="91" w:leftChars="23" w:hanging="43" w:hangingChars="1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spacing w:line="360" w:lineRule="exact"/>
              <w:ind w:left="91" w:leftChars="23" w:hanging="43" w:hangingChars="18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9:30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中标人应在3个工作日内自行到医院拿取中标通知书，并在拿取中标通知书后的3个工作日内，在霍邱县第二人民医院签订合同。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供货期限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：合同签订后7个工作日内完成安装及调试。中标人如不在规定期限内完成合同签订及供货工作，医院方可视情节取消其本次中标结果(医院有特殊要求除外)。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lang w:val="en-US" w:eastAsia="zh-CN"/>
              </w:rPr>
              <w:t xml:space="preserve">质保期 </w:t>
            </w:r>
            <w:r>
              <w:rPr>
                <w:rFonts w:hint="eastAsia" w:ascii="宋体" w:hAnsi="宋体" w:eastAsia="宋体" w:cs="宋体"/>
                <w:bCs/>
                <w:spacing w:val="-20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货物验收合格后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0"/>
              </w:rPr>
              <w:t>工作日内付至合同总价款的90%，余款10%待质保期满无质量问题后一次性付清（不计息）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361" w:right="1274" w:bottom="1361" w:left="1276" w:header="851" w:footer="851" w:gutter="0"/>
          <w:cols w:space="720" w:num="1"/>
          <w:docGrid w:type="lines" w:linePitch="636" w:charSpace="3827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C2B5B"/>
    <w:rsid w:val="3ADF2A99"/>
    <w:rsid w:val="541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18岁了很多年</cp:lastModifiedBy>
  <dcterms:modified xsi:type="dcterms:W3CDTF">2022-03-02T01:21:26Z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C82C476FB39E41F186948BDEFC5969FB</vt:lpwstr>
  </property>
</Properties>
</file>