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ascii="宋体" w:hAnsi="宋体"/>
          <w:b/>
          <w:bCs/>
          <w:sz w:val="24"/>
          <w:szCs w:val="24"/>
        </w:rPr>
        <w:t>(一)评标办法</w:t>
      </w:r>
    </w:p>
    <w:p>
      <w:pPr>
        <w:spacing w:before="159" w:beforeLines="50" w:after="159" w:afterLines="50" w:line="500" w:lineRule="exact"/>
        <w:ind w:firstLine="480" w:firstLineChars="200"/>
        <w:rPr>
          <w:rFonts w:hint="eastAsia"/>
          <w:b/>
          <w:bCs/>
          <w:sz w:val="32"/>
          <w:szCs w:val="32"/>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pStyle w:val="2"/>
        <w:spacing w:before="0" w:after="0" w:line="360" w:lineRule="auto"/>
        <w:ind w:firstLine="0"/>
        <w:rPr>
          <w:rFonts w:hint="eastAsia"/>
          <w:sz w:val="28"/>
          <w:szCs w:val="28"/>
        </w:rPr>
      </w:pPr>
      <w:r>
        <w:rPr>
          <w:rFonts w:hint="eastAsia" w:ascii="宋体" w:hAnsi="宋体" w:eastAsia="宋体"/>
          <w:sz w:val="24"/>
          <w:szCs w:val="24"/>
        </w:rPr>
        <w:t>(二)评分细则</w:t>
      </w:r>
    </w:p>
    <w:p>
      <w:pPr>
        <w:rPr>
          <w:rFonts w:hint="eastAsia"/>
        </w:rPr>
      </w:pPr>
    </w:p>
    <w:tbl>
      <w:tblPr>
        <w:tblStyle w:val="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6"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noWrap w:val="0"/>
            <w:vAlign w:val="center"/>
          </w:tcPr>
          <w:p>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6" w:type="dxa"/>
            <w:noWrap w:val="0"/>
            <w:vAlign w:val="center"/>
          </w:tcPr>
          <w:p>
            <w:pPr>
              <w:spacing w:line="300" w:lineRule="exact"/>
              <w:jc w:val="center"/>
              <w:rPr>
                <w:rFonts w:hint="eastAsia" w:ascii="宋体" w:hAnsi="宋体" w:cs="宋体"/>
                <w:b/>
                <w:sz w:val="24"/>
              </w:rPr>
            </w:pPr>
            <w:r>
              <w:rPr>
                <w:rFonts w:hint="eastAsia" w:ascii="宋体" w:hAnsi="宋体" w:cs="宋体"/>
                <w:sz w:val="24"/>
                <w:lang w:val="en-US" w:eastAsia="zh-CN"/>
              </w:rPr>
              <w:t>50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sz w:val="24"/>
              </w:rPr>
              <w:t>价格分统一采用低价优先法</w:t>
            </w:r>
            <w:r>
              <w:rPr>
                <w:rFonts w:hint="eastAsia" w:ascii="宋体" w:hAnsi="宋体" w:cs="宋体"/>
                <w:sz w:val="24"/>
                <w:lang w:eastAsia="zh-CN"/>
              </w:rPr>
              <w:t>,</w:t>
            </w:r>
            <w:r>
              <w:rPr>
                <w:rFonts w:hint="eastAsia" w:ascii="宋体" w:hAnsi="宋体" w:cs="宋体"/>
                <w:sz w:val="24"/>
              </w:rPr>
              <w:t>即满足招标文件要求且投标价格最低的投标报价为评标基准价</w:t>
            </w:r>
            <w:r>
              <w:rPr>
                <w:rFonts w:hint="eastAsia" w:ascii="宋体" w:hAnsi="宋体" w:cs="宋体"/>
                <w:sz w:val="24"/>
                <w:lang w:eastAsia="zh-CN"/>
              </w:rPr>
              <w:t>,</w:t>
            </w:r>
            <w:r>
              <w:rPr>
                <w:rFonts w:hint="eastAsia" w:ascii="宋体" w:hAnsi="宋体" w:cs="宋体"/>
                <w:sz w:val="24"/>
              </w:rPr>
              <w:t>其价格分为满分</w:t>
            </w:r>
            <w:r>
              <w:rPr>
                <w:rFonts w:hint="eastAsia" w:ascii="宋体" w:hAnsi="宋体" w:cs="宋体"/>
                <w:sz w:val="24"/>
                <w:lang w:val="en-US" w:eastAsia="zh-CN"/>
              </w:rPr>
              <w:t>5</w:t>
            </w:r>
            <w:r>
              <w:rPr>
                <w:rFonts w:hint="eastAsia" w:ascii="宋体" w:hAnsi="宋体" w:cs="宋体"/>
                <w:sz w:val="24"/>
              </w:rPr>
              <w:t>0分。其他投标供应商的价格为统一按照下列公式计算：投标报价得分=</w:t>
            </w:r>
            <w:r>
              <w:rPr>
                <w:rFonts w:hint="eastAsia" w:ascii="宋体" w:hAnsi="宋体" w:cs="宋体"/>
                <w:sz w:val="24"/>
                <w:lang w:eastAsia="zh-CN"/>
              </w:rPr>
              <w:t>(</w:t>
            </w:r>
            <w:r>
              <w:rPr>
                <w:rFonts w:hint="eastAsia" w:ascii="宋体" w:hAnsi="宋体" w:cs="宋体"/>
                <w:sz w:val="24"/>
              </w:rPr>
              <w:t>评标基准价/投标报价</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noWrap w:val="0"/>
            <w:vAlign w:val="center"/>
          </w:tcPr>
          <w:p>
            <w:pPr>
              <w:autoSpaceDN w:val="0"/>
              <w:spacing w:line="300" w:lineRule="exact"/>
              <w:jc w:val="center"/>
              <w:textAlignment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5</w:t>
            </w:r>
            <w:r>
              <w:rPr>
                <w:rFonts w:hint="eastAsia" w:ascii="宋体" w:hAnsi="宋体" w:cs="宋体"/>
                <w:sz w:val="24"/>
              </w:rPr>
              <w:t>0分)</w:t>
            </w: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技术参数</w:t>
            </w:r>
            <w:r>
              <w:rPr>
                <w:rFonts w:hint="eastAsia" w:ascii="宋体" w:hAnsi="宋体" w:cs="宋体"/>
                <w:sz w:val="24"/>
                <w:lang w:eastAsia="zh-CN"/>
              </w:rPr>
              <w:t>响应情况</w:t>
            </w:r>
          </w:p>
        </w:tc>
        <w:tc>
          <w:tcPr>
            <w:tcW w:w="986" w:type="dxa"/>
            <w:noWrap w:val="0"/>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8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b/>
                <w:sz w:val="24"/>
                <w:szCs w:val="24"/>
              </w:rPr>
              <w:t>技术响应性：</w:t>
            </w:r>
            <w:r>
              <w:rPr>
                <w:rFonts w:hint="eastAsia" w:ascii="宋体" w:hAnsi="宋体" w:eastAsia="宋体" w:cs="宋体"/>
                <w:sz w:val="24"/>
                <w:szCs w:val="24"/>
              </w:rPr>
              <w:t xml:space="preserve">技术条款要求的整体响应情况进行综合评价，本项满分为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分；再根据投标产品技术参数对招标文件中技术条款要求的整体响应情况进行综合评价，★参数不满足每项扣5分，非星号参数不满足每项扣</w:t>
            </w:r>
            <w:r>
              <w:rPr>
                <w:rFonts w:hint="eastAsia" w:ascii="宋体" w:hAnsi="宋体" w:cs="宋体"/>
                <w:sz w:val="24"/>
                <w:szCs w:val="24"/>
                <w:lang w:val="en-US" w:eastAsia="zh-CN"/>
              </w:rPr>
              <w:t>2</w:t>
            </w:r>
            <w:r>
              <w:rPr>
                <w:rFonts w:hint="eastAsia" w:ascii="宋体" w:hAnsi="宋体" w:eastAsia="宋体" w:cs="宋体"/>
                <w:sz w:val="24"/>
                <w:szCs w:val="24"/>
              </w:rPr>
              <w:t>分，扣完为止（★参数及正偏离参数在投标文件中需提供相应支撑材料（包括但不限于产品彩页，检测报告，技术白皮书等）并标注页码，如不提供相应支撑材料则评标时不予认可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企业实力及品牌影响力</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20</w:t>
            </w:r>
          </w:p>
        </w:tc>
        <w:tc>
          <w:tcPr>
            <w:tcW w:w="58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lang w:val="en-US" w:eastAsia="zh-CN"/>
              </w:rPr>
            </w:pPr>
            <w:r>
              <w:rPr>
                <w:rFonts w:ascii="Microsoft JhengHei"/>
                <w:b/>
                <w:sz w:val="24"/>
                <w:szCs w:val="24"/>
              </w:rPr>
              <w:t>投标产品品牌、市场认可度：</w:t>
            </w:r>
            <w:r>
              <w:rPr>
                <w:rFonts w:hint="eastAsia"/>
                <w:sz w:val="24"/>
                <w:szCs w:val="24"/>
              </w:rPr>
              <w:t>根据投标产品的品牌知名度、美誉度和市场</w:t>
            </w:r>
            <w:r>
              <w:rPr>
                <w:rFonts w:hint="eastAsia"/>
                <w:sz w:val="24"/>
                <w:szCs w:val="24"/>
                <w:lang w:eastAsia="zh-CN"/>
              </w:rPr>
              <w:t>占有率、样品等</w:t>
            </w:r>
            <w:r>
              <w:rPr>
                <w:rFonts w:hint="eastAsia"/>
                <w:sz w:val="24"/>
                <w:szCs w:val="24"/>
              </w:rPr>
              <w:t>进行综合评价，</w:t>
            </w:r>
            <w:r>
              <w:rPr>
                <w:rFonts w:hint="eastAsia"/>
                <w:sz w:val="24"/>
                <w:szCs w:val="24"/>
                <w:lang w:val="en-US" w:eastAsia="zh-CN"/>
              </w:rPr>
              <w:t>20</w:t>
            </w:r>
            <w:r>
              <w:rPr>
                <w:rFonts w:hint="eastAsia"/>
                <w:sz w:val="24"/>
                <w:szCs w:val="24"/>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售后服务</w:t>
            </w:r>
            <w:r>
              <w:rPr>
                <w:rFonts w:hint="eastAsia" w:ascii="宋体" w:hAnsi="宋体" w:cs="宋体"/>
                <w:sz w:val="24"/>
                <w:lang w:eastAsia="zh-CN"/>
              </w:rPr>
              <w:t>维保方案</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5</w:t>
            </w:r>
          </w:p>
        </w:tc>
        <w:tc>
          <w:tcPr>
            <w:tcW w:w="5898" w:type="dxa"/>
            <w:noWrap w:val="0"/>
            <w:vAlign w:val="center"/>
          </w:tcPr>
          <w:p>
            <w:pPr>
              <w:pStyle w:val="6"/>
              <w:spacing w:line="374" w:lineRule="exact"/>
              <w:rPr>
                <w:rFonts w:hint="eastAsia" w:ascii="宋体" w:hAnsi="宋体" w:eastAsia="宋体" w:cs="宋体"/>
                <w:b/>
                <w:sz w:val="24"/>
                <w:szCs w:val="24"/>
              </w:rPr>
            </w:pPr>
            <w:r>
              <w:rPr>
                <w:rFonts w:hint="eastAsia" w:ascii="宋体" w:hAnsi="宋体" w:eastAsia="宋体" w:cs="宋体"/>
                <w:b/>
                <w:sz w:val="24"/>
                <w:szCs w:val="24"/>
              </w:rPr>
              <w:t>售后服务：</w:t>
            </w:r>
          </w:p>
          <w:p>
            <w:pPr>
              <w:widowControl/>
              <w:autoSpaceDE/>
              <w:autoSpaceDN/>
              <w:jc w:val="both"/>
              <w:rPr>
                <w:rFonts w:hint="eastAsia"/>
                <w:spacing w:val="-6"/>
                <w:lang w:val="en-US" w:eastAsia="zh-CN"/>
              </w:rPr>
            </w:pPr>
            <w:r>
              <w:rPr>
                <w:rFonts w:hint="eastAsia" w:ascii="宋体" w:hAnsi="宋体" w:eastAsia="宋体" w:cs="宋体"/>
                <w:spacing w:val="-8"/>
                <w:sz w:val="24"/>
                <w:szCs w:val="24"/>
              </w:rPr>
              <w:t>根据售后服务方案及其他相关承诺及售后</w:t>
            </w:r>
            <w:r>
              <w:rPr>
                <w:rFonts w:hint="eastAsia" w:ascii="宋体" w:hAnsi="宋体" w:eastAsia="宋体" w:cs="宋体"/>
                <w:sz w:val="24"/>
                <w:szCs w:val="24"/>
              </w:rPr>
              <w:t>服务情况进行综合评价。共</w:t>
            </w:r>
            <w:r>
              <w:rPr>
                <w:rFonts w:hint="eastAsia" w:ascii="宋体" w:hAnsi="宋体" w:cs="宋体"/>
                <w:sz w:val="24"/>
                <w:szCs w:val="24"/>
                <w:lang w:val="en-US" w:eastAsia="zh-CN"/>
              </w:rPr>
              <w:t>5</w:t>
            </w:r>
            <w:r>
              <w:rPr>
                <w:rFonts w:hint="eastAsia" w:ascii="宋体" w:hAnsi="宋体" w:eastAsia="宋体" w:cs="宋体"/>
                <w:spacing w:val="-3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noWrap w:val="0"/>
            <w:vAlign w:val="center"/>
          </w:tcPr>
          <w:p>
            <w:pPr>
              <w:autoSpaceDN w:val="0"/>
              <w:spacing w:line="360" w:lineRule="auto"/>
              <w:jc w:val="center"/>
              <w:textAlignment w:val="center"/>
              <w:rPr>
                <w:rFonts w:hint="eastAsia" w:ascii="宋体" w:hAnsi="宋体" w:cs="宋体"/>
                <w:sz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相关业绩</w:t>
            </w:r>
          </w:p>
        </w:tc>
        <w:tc>
          <w:tcPr>
            <w:tcW w:w="986"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5</w:t>
            </w:r>
          </w:p>
        </w:tc>
        <w:tc>
          <w:tcPr>
            <w:tcW w:w="5898" w:type="dxa"/>
            <w:noWrap w:val="0"/>
            <w:vAlign w:val="center"/>
          </w:tcPr>
          <w:p>
            <w:pPr>
              <w:bidi w:val="0"/>
              <w:rPr>
                <w:rFonts w:hint="default" w:ascii="宋体" w:hAnsi="宋体" w:eastAsia="宋体" w:cs="宋体"/>
                <w:spacing w:val="-8"/>
                <w:szCs w:val="24"/>
                <w:lang w:val="en-US" w:eastAsia="zh-CN"/>
              </w:rPr>
            </w:pPr>
            <w:r>
              <w:rPr>
                <w:rFonts w:hint="eastAsia"/>
                <w:sz w:val="24"/>
                <w:szCs w:val="24"/>
              </w:rPr>
              <w:t>投标人提供201</w:t>
            </w:r>
            <w:r>
              <w:rPr>
                <w:rFonts w:hint="eastAsia"/>
                <w:sz w:val="24"/>
                <w:szCs w:val="24"/>
                <w:lang w:val="en-US" w:eastAsia="zh-CN"/>
              </w:rPr>
              <w:t>8</w:t>
            </w:r>
            <w:r>
              <w:rPr>
                <w:rFonts w:hint="eastAsia"/>
                <w:sz w:val="24"/>
                <w:szCs w:val="24"/>
              </w:rPr>
              <w:t>年1月1日以来所投产品（同品牌同系列）在国内二甲及以上医院销售单项合同，提供1份得</w:t>
            </w:r>
            <w:r>
              <w:rPr>
                <w:rFonts w:hint="eastAsia"/>
                <w:sz w:val="24"/>
                <w:szCs w:val="24"/>
                <w:lang w:val="en-US" w:eastAsia="zh-CN"/>
              </w:rPr>
              <w:t>1</w:t>
            </w:r>
            <w:r>
              <w:rPr>
                <w:rFonts w:hint="eastAsia"/>
                <w:sz w:val="24"/>
                <w:szCs w:val="24"/>
              </w:rPr>
              <w:t>分，满分</w:t>
            </w:r>
            <w:r>
              <w:rPr>
                <w:rFonts w:hint="eastAsia"/>
                <w:sz w:val="24"/>
                <w:szCs w:val="24"/>
                <w:lang w:val="en-US" w:eastAsia="zh-CN"/>
              </w:rPr>
              <w:t>5</w:t>
            </w:r>
            <w:r>
              <w:rPr>
                <w:rFonts w:hint="eastAsia"/>
                <w:sz w:val="24"/>
                <w:szCs w:val="24"/>
              </w:rPr>
              <w:t>分。投标人须提供中标采购合同原件或复印件加盖投标人公章。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48"/>
    <w:rsid w:val="00226D48"/>
    <w:rsid w:val="1F364A20"/>
    <w:rsid w:val="240A400A"/>
    <w:rsid w:val="31AF61E6"/>
    <w:rsid w:val="46E30BEB"/>
    <w:rsid w:val="57751FD3"/>
    <w:rsid w:val="5EDD4167"/>
    <w:rsid w:val="73B50154"/>
    <w:rsid w:val="79535AE0"/>
    <w:rsid w:val="7B63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2021-06-15T00:51:00Z</dcterms:created>
  <dc:creator>Administrator</dc:creator>
  <cp:lastModifiedBy>江昊</cp:lastModifiedBy>
  <cp:lastPrinted>2021-08-07T08:02:00Z</cp:lastPrinted>
  <dcterms:modified xsi:type="dcterms:W3CDTF">2021-11-19T00:26:02Z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EE7AD11D8B47418CAC9C9230D1252F68</vt:lpwstr>
  </property>
</Properties>
</file>