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64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附件3：考核表</w:t>
      </w:r>
    </w:p>
    <w:p>
      <w:pPr>
        <w:pStyle w:val="5"/>
        <w:ind w:firstLine="960" w:firstLineChars="300"/>
      </w:pPr>
      <w:r>
        <w:rPr>
          <w:rFonts w:hint="eastAsia"/>
        </w:rPr>
        <w:t>霍邱县第二人民医院发光字亮化维保考核表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72"/>
        <w:gridCol w:w="832"/>
        <w:gridCol w:w="1664"/>
        <w:gridCol w:w="818"/>
        <w:gridCol w:w="1268"/>
        <w:gridCol w:w="818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pStyle w:val="5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pStyle w:val="5"/>
              <w:ind w:firstLine="5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考核具体内容</w:t>
            </w:r>
          </w:p>
        </w:tc>
        <w:tc>
          <w:tcPr>
            <w:tcW w:w="818" w:type="dxa"/>
          </w:tcPr>
          <w:p>
            <w:pPr>
              <w:pStyle w:val="5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</w:t>
            </w:r>
          </w:p>
        </w:tc>
        <w:tc>
          <w:tcPr>
            <w:tcW w:w="845" w:type="dxa"/>
          </w:tcPr>
          <w:p>
            <w:pPr>
              <w:pStyle w:val="5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故障响应和处理时间超过“合同及招标文件要求”的，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每出现一次扣4分，</w:t>
            </w:r>
          </w:p>
        </w:tc>
        <w:tc>
          <w:tcPr>
            <w:tcW w:w="81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845" w:type="dxa"/>
          </w:tcPr>
          <w:p>
            <w:pPr>
              <w:pStyle w:val="5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维修保养记录备案不完整的，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每缺失一项扣2分</w:t>
            </w:r>
          </w:p>
        </w:tc>
        <w:tc>
          <w:tcPr>
            <w:tcW w:w="81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845" w:type="dxa"/>
          </w:tcPr>
          <w:p>
            <w:pPr>
              <w:pStyle w:val="5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现场钢结构保养质量无法确保钢结构安全性的，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每出现一次扣5分</w:t>
            </w:r>
          </w:p>
        </w:tc>
        <w:tc>
          <w:tcPr>
            <w:tcW w:w="81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845" w:type="dxa"/>
          </w:tcPr>
          <w:p>
            <w:pPr>
              <w:pStyle w:val="5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针对不同季节时差变化，未对亮化进行时间调控的，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每出现一次扣5分</w:t>
            </w:r>
          </w:p>
        </w:tc>
        <w:tc>
          <w:tcPr>
            <w:tcW w:w="81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845" w:type="dxa"/>
          </w:tcPr>
          <w:p>
            <w:pPr>
              <w:pStyle w:val="5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维保更换产品与投标文件承诺产品不一致，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每出现一次扣2分</w:t>
            </w:r>
          </w:p>
        </w:tc>
        <w:tc>
          <w:tcPr>
            <w:tcW w:w="81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845" w:type="dxa"/>
          </w:tcPr>
          <w:p>
            <w:pPr>
              <w:pStyle w:val="5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针对恶劣天气等未提前安排人员进行预防性检查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每出现一次扣3分</w:t>
            </w:r>
          </w:p>
        </w:tc>
        <w:tc>
          <w:tcPr>
            <w:tcW w:w="81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845" w:type="dxa"/>
          </w:tcPr>
          <w:p>
            <w:pPr>
              <w:pStyle w:val="5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总务科满意度</w:t>
            </w:r>
          </w:p>
        </w:tc>
        <w:tc>
          <w:tcPr>
            <w:tcW w:w="81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845" w:type="dxa"/>
          </w:tcPr>
          <w:p>
            <w:pPr>
              <w:pStyle w:val="5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院部满意度</w:t>
            </w:r>
          </w:p>
        </w:tc>
        <w:tc>
          <w:tcPr>
            <w:tcW w:w="81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845" w:type="dxa"/>
          </w:tcPr>
          <w:p>
            <w:pPr>
              <w:pStyle w:val="5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pStyle w:val="5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考核总分</w:t>
            </w:r>
          </w:p>
        </w:tc>
        <w:tc>
          <w:tcPr>
            <w:tcW w:w="1472" w:type="dxa"/>
          </w:tcPr>
          <w:p>
            <w:pPr>
              <w:pStyle w:val="5"/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2" w:type="dxa"/>
          </w:tcPr>
          <w:p>
            <w:pPr>
              <w:pStyle w:val="5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考核日期</w:t>
            </w:r>
          </w:p>
        </w:tc>
        <w:tc>
          <w:tcPr>
            <w:tcW w:w="1664" w:type="dxa"/>
          </w:tcPr>
          <w:p>
            <w:pPr>
              <w:pStyle w:val="5"/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8" w:type="dxa"/>
          </w:tcPr>
          <w:p>
            <w:pPr>
              <w:pStyle w:val="5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考核人员</w:t>
            </w:r>
          </w:p>
        </w:tc>
        <w:tc>
          <w:tcPr>
            <w:tcW w:w="2931" w:type="dxa"/>
            <w:gridSpan w:val="3"/>
          </w:tcPr>
          <w:p>
            <w:pPr>
              <w:pStyle w:val="5"/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5"/>
        <w:ind w:firstLine="640"/>
      </w:pPr>
      <w:r>
        <w:rPr>
          <w:rFonts w:hint="eastAsia"/>
        </w:rPr>
        <w:t>备注：每年由总务股牵头考核一次，得分90分以上为合格，90分以下，每低一分，扣款1000元，80分以下，甲方可单方面终止合同。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bCs/>
          <w:sz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07BE0"/>
    <w:rsid w:val="168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文本首行缩进 21"/>
    <w:basedOn w:val="6"/>
    <w:qFormat/>
    <w:uiPriority w:val="0"/>
    <w:pPr>
      <w:ind w:firstLine="420" w:firstLineChars="200"/>
    </w:pPr>
  </w:style>
  <w:style w:type="paragraph" w:customStyle="1" w:styleId="6">
    <w:name w:val="正文文本缩进1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customStyle="1" w:styleId="7">
    <w:name w:val="寄信人地址1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2021-09-23T07:22:00Z</dcterms:created>
  <dc:creator>Administrator</dc:creator>
  <cp:lastModifiedBy>Administrator</cp:lastModifiedBy>
  <dcterms:modified xsi:type="dcterms:W3CDTF">2021-09-23T07:23:14Z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4D3B1B691481442E9072D2674ABE1D71</vt:lpwstr>
  </property>
</Properties>
</file>