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  <w:shd w:val="clear" w:fill="FFFFFF"/>
        </w:rPr>
        <w:t>附件1：投标人须知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 </w:t>
      </w:r>
    </w:p>
    <w:tbl>
      <w:tblPr>
        <w:tblW w:w="9176" w:type="dxa"/>
        <w:tblInd w:w="-2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8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                   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hanging="164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：除颤监护仪采购项目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hanging="283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：HQEY-2021X01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采购人：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地址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：霍邱县城关镇蓼南路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采购内容：除颤监护仪一台 预算价：4.2万元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招标方式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：院网询价采购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开标时间：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2021年7月13日15:00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开标地点：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住院部大楼十六楼小会议室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3份，正本一份，副本两份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中标人应在3个工作日内自行到医院拿取中标通知书，并在拿取中标通知书后的3个工作日内，在霍邱县第二人民医院签订合同。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供货地点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质保期：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至少两年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 xml:space="preserve">服务期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验收标准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：完全响应询价公告相关条款要求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货物验收合格后七个工作日内付至合同总价款的90%，余款10%待质保期满无质量问题后一次性付清（不计息）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10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为提高院网采购效率，投标人不足三家的，评委会可现场决定是否采用竞争性磋商或单一来源方式采购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A1809"/>
    <w:rsid w:val="4C5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2021-07-06T07:19:00Z</dcterms:created>
  <dc:creator>邀古斋</dc:creator>
  <cp:lastModifiedBy>邀古斋</cp:lastModifiedBy>
  <dcterms:modified xsi:type="dcterms:W3CDTF">2021-07-06T07:20:55Z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6FCA186FE0D5473A9EDD36B26E3F5FC4</vt:lpwstr>
  </property>
</Properties>
</file>