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附表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成人心肺复苏技术操作流程</w:t>
      </w:r>
    </w:p>
    <w:tbl>
      <w:tblPr>
        <w:tblStyle w:val="4"/>
        <w:tblW w:w="9752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58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</w:t>
            </w:r>
          </w:p>
        </w:tc>
        <w:tc>
          <w:tcPr>
            <w:tcW w:w="85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操作规程</w:t>
            </w:r>
          </w:p>
        </w:tc>
        <w:tc>
          <w:tcPr>
            <w:tcW w:w="636" w:type="dxa"/>
            <w:vAlign w:val="top"/>
          </w:tcPr>
          <w:p>
            <w:pPr>
              <w:ind w:left="1267" w:hanging="1267" w:hangingChars="601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</w:t>
            </w:r>
          </w:p>
          <w:p>
            <w:pPr>
              <w:ind w:left="1267" w:hanging="1267" w:hangingChars="601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530" w:type="dxa"/>
            <w:vMerge w:val="restart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操作前准备（5分）</w:t>
            </w: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1、护士准备：</w:t>
            </w:r>
            <w:r>
              <w:rPr>
                <w:rFonts w:hint="eastAsia" w:ascii="宋体" w:hAnsi="宋体" w:cs="宋体"/>
                <w:szCs w:val="21"/>
              </w:rPr>
              <w:t>着装整齐、态度严肃、反应敏捷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2、环境准备：</w:t>
            </w:r>
            <w:r>
              <w:rPr>
                <w:rFonts w:hint="eastAsia" w:ascii="宋体" w:hAnsi="宋体" w:cs="宋体"/>
                <w:szCs w:val="21"/>
              </w:rPr>
              <w:t>脱离危险环境，使用隔帘，清理与抢救无关人员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53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586" w:type="dxa"/>
            <w:tcBorders>
              <w:bottom w:val="single" w:color="auto" w:sz="4" w:space="0"/>
            </w:tcBorders>
            <w:vAlign w:val="top"/>
          </w:tcPr>
          <w:p>
            <w:pPr>
              <w:ind w:left="310" w:hanging="310" w:hangingChars="14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3、用物准备：</w:t>
            </w:r>
            <w:r>
              <w:rPr>
                <w:rFonts w:hint="eastAsia" w:ascii="宋体" w:hAnsi="宋体" w:cs="宋体"/>
                <w:szCs w:val="21"/>
              </w:rPr>
              <w:t>模拟人、硬板床或硬板、护士挂表、纱布、弯盘、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电筒、</w:t>
            </w:r>
            <w:r>
              <w:rPr>
                <w:rFonts w:hint="eastAsia" w:ascii="宋体" w:hAnsi="宋体" w:cs="宋体"/>
                <w:szCs w:val="21"/>
              </w:rPr>
              <w:t>记录单、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笔、</w:t>
            </w:r>
            <w:r>
              <w:rPr>
                <w:rFonts w:hint="eastAsia" w:ascii="宋体" w:hAnsi="宋体" w:cs="宋体"/>
                <w:szCs w:val="21"/>
              </w:rPr>
              <w:t>血压计、听诊器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530" w:type="dxa"/>
            <w:vMerge w:val="restart"/>
            <w:textDirection w:val="tbRlV"/>
            <w:vAlign w:val="top"/>
          </w:tcPr>
          <w:p>
            <w:pPr>
              <w:ind w:left="113" w:right="113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     操作方法与程序（85分）</w:t>
            </w:r>
          </w:p>
        </w:tc>
        <w:tc>
          <w:tcPr>
            <w:tcW w:w="8586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1、口述：“开始” 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ind w:left="310" w:hanging="310" w:hangingChars="14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2、判断患者意识：</w:t>
            </w:r>
            <w:r>
              <w:rPr>
                <w:rFonts w:hint="eastAsia" w:ascii="宋体" w:hAnsi="宋体" w:cs="宋体"/>
                <w:szCs w:val="21"/>
              </w:rPr>
              <w:t>轻拍患者双肩，俯身分别对左、右耳高声呼叫：“喂，你怎么啦？”，口述：“意识丧失”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ind w:left="211" w:hanging="211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3、呼叫同事</w:t>
            </w:r>
            <w:r>
              <w:rPr>
                <w:rFonts w:hint="eastAsia" w:ascii="宋体" w:hAnsi="宋体" w:cs="宋体"/>
                <w:szCs w:val="21"/>
              </w:rPr>
              <w:t>：口述：“*床需要抢救，快来人”，看开始复苏时间，解开衣领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bottom w:val="nil"/>
            </w:tcBorders>
            <w:vAlign w:val="top"/>
          </w:tcPr>
          <w:p>
            <w:pPr>
              <w:ind w:left="314" w:hanging="314" w:hangingChars="14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4、同时判断呼吸和大动脉搏动：</w:t>
            </w:r>
            <w:r>
              <w:rPr>
                <w:rFonts w:hint="eastAsia" w:ascii="宋体" w:hAnsi="宋体" w:cs="宋体"/>
                <w:szCs w:val="21"/>
              </w:rPr>
              <w:t>触摸颈动脉（右手食、中二指并拢，由喉结向内侧[患者右侧]滑移2cm检查颈动脉搏动），同时俯身耳听、面感、眼视患者胸廓判断呼吸，5秒＜时间＜10秒，口述“自主呼吸消失，大动脉搏动消失”</w:t>
            </w:r>
          </w:p>
        </w:tc>
        <w:tc>
          <w:tcPr>
            <w:tcW w:w="636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bottom w:val="nil"/>
            </w:tcBorders>
            <w:vAlign w:val="top"/>
          </w:tcPr>
          <w:p>
            <w:pPr>
              <w:ind w:left="211" w:hanging="211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5、安置体位</w:t>
            </w:r>
            <w:r>
              <w:rPr>
                <w:rFonts w:hint="eastAsia" w:ascii="宋体" w:hAnsi="宋体" w:cs="宋体"/>
                <w:szCs w:val="21"/>
              </w:rPr>
              <w:t>：去枕平卧，确认硬板床或置按压板，解开上衣、松解裤带</w:t>
            </w:r>
          </w:p>
        </w:tc>
        <w:tc>
          <w:tcPr>
            <w:tcW w:w="636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bottom w:val="nil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6、行胸外心脏按压</w:t>
            </w:r>
          </w:p>
        </w:tc>
        <w:tc>
          <w:tcPr>
            <w:tcW w:w="636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bottom w:val="nil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①</w:t>
            </w:r>
            <w:r>
              <w:rPr>
                <w:rFonts w:hint="eastAsia" w:ascii="宋体" w:hAnsi="宋体" w:cs="宋体"/>
                <w:szCs w:val="21"/>
              </w:rPr>
              <w:t>术者体位：位于病人一侧，根据个人身高及病人位置高低选用踏脚凳或跪式体位</w:t>
            </w:r>
          </w:p>
        </w:tc>
        <w:tc>
          <w:tcPr>
            <w:tcW w:w="636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②</w:t>
            </w:r>
            <w:r>
              <w:rPr>
                <w:rFonts w:hint="eastAsia" w:ascii="宋体" w:hAnsi="宋体" w:cs="宋体"/>
                <w:szCs w:val="21"/>
              </w:rPr>
              <w:t>按压部位：胸骨下半部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③</w:t>
            </w:r>
            <w:r>
              <w:rPr>
                <w:rFonts w:hint="eastAsia" w:ascii="宋体" w:hAnsi="宋体" w:cs="宋体"/>
                <w:szCs w:val="21"/>
              </w:rPr>
              <w:t>按压姿势：双手按压，双手掌跟重叠，手指扣手交叉，手指不触及胸壁，双臂肘关节</w:t>
            </w: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绷直，垂直向下用力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④</w:t>
            </w:r>
            <w:r>
              <w:rPr>
                <w:rFonts w:hint="eastAsia" w:ascii="宋体" w:hAnsi="宋体" w:cs="宋体"/>
                <w:szCs w:val="21"/>
              </w:rPr>
              <w:t>按压深度：成人为胸骨下陷5-6cm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⑤</w:t>
            </w:r>
            <w:r>
              <w:rPr>
                <w:rFonts w:hint="eastAsia" w:ascii="宋体" w:hAnsi="宋体" w:cs="宋体"/>
                <w:szCs w:val="21"/>
              </w:rPr>
              <w:t>按压频率：100-120次/分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⑥</w:t>
            </w:r>
            <w:r>
              <w:rPr>
                <w:rFonts w:hint="eastAsia" w:ascii="宋体" w:hAnsi="宋体" w:cs="宋体"/>
                <w:szCs w:val="21"/>
              </w:rPr>
              <w:t>按压与放松时间比1:1，每次按压后使胸廓充分回弹，不可在每次按压后倚靠在患者</w:t>
            </w: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胸上，注意观察患者面色及四肢循环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bottom w:val="nil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7、开放气道</w:t>
            </w:r>
          </w:p>
        </w:tc>
        <w:tc>
          <w:tcPr>
            <w:tcW w:w="636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3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①</w:t>
            </w:r>
            <w:r>
              <w:rPr>
                <w:rFonts w:hint="eastAsia" w:ascii="宋体" w:hAnsi="宋体" w:cs="宋体"/>
                <w:szCs w:val="21"/>
              </w:rPr>
              <w:t>检查确定有无颈椎骨折，并报告。双手轻转头部，检查口腔，去除异物或义齿（疑有颈椎</w:t>
            </w: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骨折的除外）</w:t>
            </w:r>
          </w:p>
        </w:tc>
        <w:tc>
          <w:tcPr>
            <w:tcW w:w="636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</w:tcBorders>
            <w:vAlign w:val="top"/>
          </w:tcPr>
          <w:p>
            <w:pPr>
              <w:ind w:left="207" w:hanging="207" w:hangingChars="98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②</w:t>
            </w:r>
            <w:r>
              <w:rPr>
                <w:rFonts w:hint="eastAsia" w:ascii="宋体" w:hAnsi="宋体" w:cs="宋体"/>
                <w:szCs w:val="21"/>
              </w:rPr>
              <w:t>开放气道：采用仰头抬颏法—左手掌外缘置患者前额，向后下方施力，使其头部后仰，同时右手食指、中指指端放在患者颌下骨下方，旁开中点2cm，将颏部向前抬起，使头部充分后仰，下颌角与耳垂连接和身体水平面呈90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（疑有颈椎骨折采用托颌法）</w:t>
            </w:r>
          </w:p>
        </w:tc>
        <w:tc>
          <w:tcPr>
            <w:tcW w:w="6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ind w:left="-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8、口对口人工呼吸2次：</w:t>
            </w:r>
            <w:r>
              <w:rPr>
                <w:rFonts w:hint="eastAsia" w:ascii="宋体" w:hAnsi="宋体" w:cs="宋体"/>
                <w:szCs w:val="21"/>
              </w:rPr>
              <w:t>每次</w:t>
            </w:r>
            <w:r>
              <w:rPr>
                <w:rFonts w:hint="eastAsia"/>
              </w:rPr>
              <w:t>吹气</w:t>
            </w:r>
            <w:r>
              <w:rPr>
                <w:rFonts w:hint="eastAsia" w:ascii="宋体" w:hAnsi="宋体" w:cs="宋体"/>
                <w:szCs w:val="21"/>
              </w:rPr>
              <w:t>超过1秒，观察胸廓是否隆起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9、按压-吹气比：3</w:t>
            </w:r>
            <w:r>
              <w:rPr>
                <w:rFonts w:hint="eastAsia" w:ascii="宋体" w:hAnsi="宋体" w:cs="宋体"/>
                <w:szCs w:val="21"/>
              </w:rPr>
              <w:t>0:2，连续操作5个循环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ind w:left="413" w:hanging="413" w:hangingChars="196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10、终末判断</w:t>
            </w:r>
            <w:r>
              <w:rPr>
                <w:rFonts w:hint="eastAsia" w:ascii="宋体" w:hAnsi="宋体" w:cs="宋体"/>
                <w:szCs w:val="21"/>
              </w:rPr>
              <w:t>：同时判断大动脉搏动和自主呼吸是否恢复，5秒＜时间＜10秒， 测量血压，同时查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看瞳孔和面色，</w:t>
            </w:r>
            <w:r>
              <w:rPr>
                <w:rFonts w:hint="eastAsia" w:ascii="宋体" w:hAnsi="宋体" w:cs="宋体"/>
                <w:szCs w:val="21"/>
              </w:rPr>
              <w:t>观察有无皮肤灼伤等并发症，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口述“</w:t>
            </w:r>
            <w:r>
              <w:rPr>
                <w:rFonts w:hint="eastAsia" w:ascii="宋体" w:hAnsi="宋体" w:cs="宋体"/>
                <w:szCs w:val="21"/>
              </w:rPr>
              <w:t>自主呼吸与大动脉搏动恢复，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瞳孔较前缩小、面色转红润，测量血压超过90/60mmHg，</w:t>
            </w:r>
            <w:r>
              <w:rPr>
                <w:rFonts w:hint="eastAsia" w:ascii="宋体" w:hAnsi="宋体" w:cs="宋体"/>
                <w:szCs w:val="21"/>
              </w:rPr>
              <w:t>心肺复苏成功”，报告复苏成功时间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11、安置病人，处理用物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12、洗手（</w:t>
            </w:r>
            <w:r>
              <w:rPr>
                <w:rFonts w:hint="eastAsia" w:ascii="宋体" w:hAnsi="宋体" w:cs="宋体"/>
                <w:bCs/>
                <w:szCs w:val="21"/>
              </w:rPr>
              <w:t>＞</w:t>
            </w:r>
            <w:r>
              <w:rPr>
                <w:rFonts w:hint="eastAsia" w:ascii="宋体" w:hAnsi="宋体" w:cs="宋体"/>
                <w:szCs w:val="21"/>
              </w:rPr>
              <w:t>15秒），记录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530" w:type="dxa"/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综合评价（10分）</w:t>
            </w:r>
          </w:p>
        </w:tc>
        <w:tc>
          <w:tcPr>
            <w:tcW w:w="8586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关爱患者，体现以患者为中心的服务理念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操作熟练，动作规范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具有急救意识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操作时间不超过4分钟</w:t>
            </w:r>
          </w:p>
        </w:tc>
        <w:tc>
          <w:tcPr>
            <w:tcW w:w="63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/>
        <w:jc w:val="right"/>
        <w:textAlignment w:val="auto"/>
        <w:outlineLvl w:val="9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jc w:val="both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留置针静脉输液</w:t>
      </w:r>
      <w:r>
        <w:rPr>
          <w:rFonts w:hint="eastAsia" w:ascii="宋体" w:hAnsi="宋体"/>
          <w:b/>
          <w:sz w:val="36"/>
          <w:szCs w:val="36"/>
        </w:rPr>
        <w:t>技术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操作流程</w:t>
      </w:r>
    </w:p>
    <w:tbl>
      <w:tblPr>
        <w:tblStyle w:val="4"/>
        <w:tblW w:w="9752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58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</w:t>
            </w:r>
          </w:p>
        </w:tc>
        <w:tc>
          <w:tcPr>
            <w:tcW w:w="85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操作规程</w:t>
            </w:r>
          </w:p>
        </w:tc>
        <w:tc>
          <w:tcPr>
            <w:tcW w:w="636" w:type="dxa"/>
            <w:vAlign w:val="top"/>
          </w:tcPr>
          <w:p>
            <w:pPr>
              <w:ind w:left="1267" w:hanging="1267" w:hangingChars="601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</w:t>
            </w:r>
          </w:p>
          <w:p>
            <w:pPr>
              <w:ind w:left="1267" w:hanging="1267" w:hangingChars="601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30" w:type="dxa"/>
            <w:vMerge w:val="restart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操作前准备（20分）</w:t>
            </w: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1、护士准备：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1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衣帽整洁、修剪指甲、洗手、戴口罩、戴手表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2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核对医嘱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2、患者准备: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1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核对患者信息</w:t>
            </w:r>
          </w:p>
          <w:p>
            <w:pPr>
              <w:ind w:left="21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2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评估患者：年龄、病情、治疗方案、过敏史、用药史、穿刺部位皮肤、血管情况、心肺功能、自理能力及合作程度；是否排便、排尿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3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解释：向患者及家属解释输液的目的、方法、注意事项及配合要点，介绍留置针的特点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3、环境准备：</w:t>
            </w:r>
            <w:r>
              <w:rPr>
                <w:rFonts w:hint="eastAsia" w:ascii="宋体" w:hAnsi="宋体" w:cs="宋体"/>
                <w:szCs w:val="21"/>
              </w:rPr>
              <w:t>整洁、安静、安全、光线明亮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ind w:firstLine="103" w:firstLineChars="49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53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586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4、用物准备：</w:t>
            </w:r>
          </w:p>
          <w:p>
            <w:pPr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①配制好的药液、输液卡</w:t>
            </w:r>
          </w:p>
          <w:p>
            <w:pPr>
              <w:ind w:left="21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②注射盘内盛:0.5%碘伏、无菌棉签、输液器、留置针、透明敷贴、胶布、预冲式导管冲洗器、生理盐水、输液接头、消毒棉片、止血带、小号利器盒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③其他物品:弯盘、小垫枕、治疗巾、速干手消毒剂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ind w:firstLine="101" w:firstLineChars="48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530" w:type="dxa"/>
            <w:vMerge w:val="restart"/>
            <w:textDirection w:val="tbRlV"/>
            <w:vAlign w:val="top"/>
          </w:tcPr>
          <w:p>
            <w:pPr>
              <w:ind w:left="113" w:right="113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     操作方法与程序（70分）</w:t>
            </w:r>
          </w:p>
        </w:tc>
        <w:tc>
          <w:tcPr>
            <w:tcW w:w="858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szCs w:val="21"/>
              </w:rPr>
              <w:t>、洗手（</w:t>
            </w:r>
            <w:r>
              <w:rPr>
                <w:rFonts w:hint="eastAsia" w:ascii="宋体" w:hAnsi="宋体" w:cs="宋体"/>
                <w:szCs w:val="21"/>
              </w:rPr>
              <w:t>＞15秒）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2、准备药液</w:t>
            </w:r>
            <w:r>
              <w:rPr>
                <w:rFonts w:hint="eastAsia" w:ascii="宋体" w:hAnsi="宋体" w:cs="宋体"/>
                <w:szCs w:val="21"/>
              </w:rPr>
              <w:t>：核对医嘱与药液、将输液器插入配好的药瓶（袋）中备用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ind w:left="310" w:hanging="310" w:hangingChars="14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3、核对：</w:t>
            </w:r>
            <w:r>
              <w:rPr>
                <w:rFonts w:hint="eastAsia" w:ascii="宋体" w:hAnsi="宋体" w:cs="宋体"/>
                <w:szCs w:val="21"/>
              </w:rPr>
              <w:t>携用物至病床旁，核对姓名、床号、腕带信息、输注药物信息，协助患者取舒适体位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ind w:left="310" w:hanging="310" w:hangingChars="14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4、排气：</w:t>
            </w:r>
            <w:r>
              <w:rPr>
                <w:rFonts w:hint="eastAsia" w:ascii="宋体" w:hAnsi="宋体" w:cs="宋体"/>
                <w:szCs w:val="21"/>
              </w:rPr>
              <w:t>输液瓶（袋）悬挂，将输液器、输液接头、套管针连接后，一次性排气成功，关闭调节器备用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5、选择静脉</w:t>
            </w:r>
            <w:r>
              <w:rPr>
                <w:rFonts w:hint="eastAsia" w:ascii="宋体" w:hAnsi="宋体" w:cs="宋体"/>
                <w:szCs w:val="21"/>
              </w:rPr>
              <w:t>：置小垫枕、治疗巾于穿刺肢体下，选择穿刺静脉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6、消毒皮肤</w:t>
            </w:r>
            <w:r>
              <w:rPr>
                <w:rFonts w:hint="eastAsia" w:ascii="宋体" w:hAnsi="宋体" w:cs="宋体"/>
                <w:szCs w:val="21"/>
              </w:rPr>
              <w:t>：以穿刺点为中心环形消毒两遍，直径大于8cm，待干，准备无菌透明敷贴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7、再次核对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bottom w:val="nil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8、静脉穿刺</w:t>
            </w:r>
          </w:p>
        </w:tc>
        <w:tc>
          <w:tcPr>
            <w:tcW w:w="636" w:type="dxa"/>
            <w:tcBorders>
              <w:bottom w:val="nil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①扎止血带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②排气：嘱患者半握拳，调节针头斜面，再次排气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ind w:left="21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③穿刺：与皮肤成15°～30°角进针，见回血后压低角度5°～15°，顺静脉平行再继续进针约2mm。询问患者有无不适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ind w:left="21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④送入：一手固定针翼，另一手退出针芯约2mm，持针座将软管及针芯一起送入血管，一次性穿刺成功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⑤三松：嘱松拳，松开止血带，松开调节器，观察输液是否通畅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⑥</w:t>
            </w:r>
            <w:r>
              <w:rPr>
                <w:rFonts w:hint="eastAsia" w:ascii="宋体" w:hAnsi="宋体" w:cs="宋体"/>
                <w:szCs w:val="21"/>
              </w:rPr>
              <w:t>抽出金属针芯，弃于利器盒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ind w:left="308" w:hanging="308" w:hangingChars="14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9、固定</w:t>
            </w:r>
            <w:r>
              <w:rPr>
                <w:rFonts w:hint="eastAsia" w:ascii="宋体" w:hAnsi="宋体" w:cs="宋体"/>
                <w:szCs w:val="21"/>
              </w:rPr>
              <w:t>：透明敷贴作密闭式无张力固定，U型固定延长管，用胶条注明穿刺日期、时间，穿刺者姓名，贴于透明敷贴下缘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ind w:left="-6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10、调节滴速</w:t>
            </w:r>
            <w:r>
              <w:rPr>
                <w:rFonts w:hint="eastAsia" w:ascii="宋体" w:hAnsi="宋体" w:cs="宋体"/>
                <w:szCs w:val="21"/>
              </w:rPr>
              <w:t>：根据患者病情、年龄、药物性质调节滴速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ind w:left="-6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11、再次核对：</w:t>
            </w:r>
            <w:r>
              <w:rPr>
                <w:rFonts w:hint="eastAsia" w:ascii="宋体" w:hAnsi="宋体" w:cs="宋体"/>
                <w:szCs w:val="21"/>
              </w:rPr>
              <w:t>患者床号、姓名及输注药液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ind w:left="352" w:leftChars="-29" w:hanging="413" w:hangingChars="19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12、安置患者</w:t>
            </w:r>
            <w:r>
              <w:rPr>
                <w:rFonts w:hint="eastAsia" w:ascii="宋体" w:hAnsi="宋体" w:cs="宋体"/>
                <w:szCs w:val="21"/>
              </w:rPr>
              <w:t>：撤去治疗用物，整理床单位，协助患者取舒适卧位，将呼叫器放置于病人易取处并宣教呼叫器的使用，交待输液注意事项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ind w:left="-6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13、清理用物，洗手，记录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ind w:left="-6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14、输液巡视：</w:t>
            </w:r>
            <w:r>
              <w:rPr>
                <w:rFonts w:hint="eastAsia" w:ascii="宋体" w:hAnsi="宋体" w:cs="宋体"/>
                <w:szCs w:val="21"/>
              </w:rPr>
              <w:t>巡视时需做到“四看”，观察有无输液反应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530" w:type="dxa"/>
            <w:vMerge w:val="continue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bottom w:val="nil"/>
            </w:tcBorders>
            <w:vAlign w:val="top"/>
          </w:tcPr>
          <w:p>
            <w:pPr>
              <w:ind w:left="-6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15、冲、封管（临时停止输液）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</w:tc>
        <w:tc>
          <w:tcPr>
            <w:tcW w:w="636" w:type="dxa"/>
            <w:tcBorders>
              <w:bottom w:val="nil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530" w:type="dxa"/>
            <w:vMerge w:val="restart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tabs>
                <w:tab w:val="left" w:pos="220"/>
              </w:tabs>
              <w:ind w:left="21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1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携治疗盘至患者床旁，核对床号、姓名、腕带信息，向患者解释，取得合作，观察局部皮肤有无红、肿、热、痛等异常情况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tabs>
                <w:tab w:val="left" w:pos="220"/>
              </w:tabs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2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快速消毒手，消毒液棉签（或棉片）消毒输液接头15秒，自然待干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tabs>
                <w:tab w:val="left" w:pos="220"/>
              </w:tabs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3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将预冲式导管冲洗器抽取生理盐水3～5ml连接无针接头，脉冲方式冲洗导管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tabs>
                <w:tab w:val="left" w:pos="220"/>
              </w:tabs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4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正压封管方法封管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tabs>
                <w:tab w:val="left" w:pos="220"/>
              </w:tabs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5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分类处理用物，洗手、记录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530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tabs>
                <w:tab w:val="left" w:pos="220"/>
              </w:tabs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16、拔管（停止输液）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tabs>
                <w:tab w:val="left" w:pos="220"/>
              </w:tabs>
              <w:ind w:left="21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1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携治疗盘至患者床旁，核对床号、姓名、腕带信息，向患者解释，取得合作，观察局部皮肤有无红、肿、热、痛等异常情况</w:t>
            </w:r>
          </w:p>
          <w:p>
            <w:pPr>
              <w:ind w:left="21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2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快速消毒手，揭除透明敷贴，迅速拔针，按压穿刺点3～5分钟至不出血；查看导管完整性</w:t>
            </w:r>
          </w:p>
          <w:p>
            <w:pPr>
              <w:tabs>
                <w:tab w:val="left" w:pos="220"/>
              </w:tabs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3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安置患者舒适体位，交待注意事项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4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分类处理用物，洗手、记录</w:t>
            </w:r>
          </w:p>
        </w:tc>
        <w:tc>
          <w:tcPr>
            <w:tcW w:w="63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FF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530" w:type="dxa"/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综合评价（10分）</w:t>
            </w:r>
          </w:p>
        </w:tc>
        <w:tc>
          <w:tcPr>
            <w:tcW w:w="8586" w:type="dxa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关爱患者，体现以患者为中心的服务理念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操作熟练，动作规范，</w:t>
            </w:r>
            <w:r>
              <w:rPr>
                <w:rFonts w:hint="eastAsia"/>
                <w:szCs w:val="21"/>
              </w:rPr>
              <w:t>严格无菌技术操作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有效沟通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操作时间不超过10分钟</w:t>
            </w:r>
          </w:p>
        </w:tc>
        <w:tc>
          <w:tcPr>
            <w:tcW w:w="63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心电监护技术操作流程</w:t>
      </w:r>
    </w:p>
    <w:tbl>
      <w:tblPr>
        <w:tblStyle w:val="4"/>
        <w:tblW w:w="9752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58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</w:t>
            </w:r>
          </w:p>
        </w:tc>
        <w:tc>
          <w:tcPr>
            <w:tcW w:w="85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操作规程</w:t>
            </w:r>
          </w:p>
        </w:tc>
        <w:tc>
          <w:tcPr>
            <w:tcW w:w="636" w:type="dxa"/>
            <w:vAlign w:val="top"/>
          </w:tcPr>
          <w:p>
            <w:pPr>
              <w:ind w:left="1267" w:hanging="1267" w:hangingChars="601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</w:t>
            </w:r>
          </w:p>
          <w:p>
            <w:pPr>
              <w:ind w:left="1267" w:hanging="1267" w:hangingChars="601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30" w:type="dxa"/>
            <w:vMerge w:val="restart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操作前准备（20分）</w:t>
            </w: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1、护士准备：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①</w:t>
            </w:r>
            <w:r>
              <w:rPr>
                <w:rFonts w:hint="eastAsia" w:ascii="宋体" w:hAnsi="宋体" w:cs="宋体"/>
                <w:szCs w:val="21"/>
              </w:rPr>
              <w:t>着装整齐、洗手、戴口罩、帽子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②</w:t>
            </w:r>
            <w:r>
              <w:rPr>
                <w:rFonts w:hint="eastAsia" w:ascii="宋体" w:hAnsi="宋体" w:cs="宋体"/>
                <w:szCs w:val="21"/>
              </w:rPr>
              <w:t>核对医嘱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2、患者准备：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①</w:t>
            </w:r>
            <w:r>
              <w:rPr>
                <w:rFonts w:hint="eastAsia" w:ascii="宋体" w:hAnsi="宋体" w:cs="宋体"/>
                <w:szCs w:val="21"/>
              </w:rPr>
              <w:t>核对患者信息，向患者告知监测目的及方法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②</w:t>
            </w:r>
            <w:r>
              <w:rPr>
                <w:rFonts w:hint="eastAsia" w:ascii="宋体" w:hAnsi="宋体" w:cs="宋体"/>
                <w:szCs w:val="21"/>
              </w:rPr>
              <w:t>评估：患者病情、意识状态、酒精过敏史；患者皮肤状况、指甲有无异常、双上肢有</w:t>
            </w:r>
          </w:p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无偏瘫等疾患；</w:t>
            </w:r>
            <w:r>
              <w:rPr>
                <w:rFonts w:hint="eastAsia" w:ascii="宋体" w:hAnsi="宋体"/>
                <w:szCs w:val="21"/>
              </w:rPr>
              <w:t>情绪反应、合作程度、患者需求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3、环境准备：</w:t>
            </w:r>
            <w:r>
              <w:rPr>
                <w:rFonts w:hint="eastAsia" w:ascii="宋体" w:hAnsi="宋体" w:cs="宋体"/>
                <w:szCs w:val="21"/>
              </w:rPr>
              <w:t>光线适宜、无电磁波干扰（口述）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53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586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4、用物准备：</w:t>
            </w:r>
            <w:r>
              <w:rPr>
                <w:rFonts w:hint="eastAsia" w:ascii="宋体" w:hAnsi="宋体" w:cs="宋体"/>
                <w:szCs w:val="21"/>
              </w:rPr>
              <w:t>监护仪、电极片、75%酒精、棉签、弯盘、护理记录单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530" w:type="dxa"/>
            <w:vMerge w:val="restart"/>
            <w:textDirection w:val="tbRlV"/>
            <w:vAlign w:val="top"/>
          </w:tcPr>
          <w:p>
            <w:pPr>
              <w:ind w:left="113" w:right="113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     操作方法与程序（70分）</w:t>
            </w:r>
          </w:p>
        </w:tc>
        <w:tc>
          <w:tcPr>
            <w:tcW w:w="858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1、核对：</w:t>
            </w:r>
            <w:r>
              <w:rPr>
                <w:rFonts w:hint="eastAsia" w:ascii="宋体" w:hAnsi="宋体" w:cs="宋体"/>
                <w:bCs/>
                <w:szCs w:val="21"/>
              </w:rPr>
              <w:t>洗手（＞15</w:t>
            </w:r>
            <w:r>
              <w:rPr>
                <w:rFonts w:hint="eastAsia" w:ascii="宋体" w:hAnsi="宋体" w:cs="宋体"/>
                <w:szCs w:val="21"/>
              </w:rPr>
              <w:t>秒</w:t>
            </w:r>
            <w:r>
              <w:rPr>
                <w:rFonts w:ascii="宋体" w:hAnsi="宋体" w:cs="宋体"/>
                <w:bCs/>
                <w:szCs w:val="21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携用物至床旁，</w:t>
            </w:r>
            <w:r>
              <w:rPr>
                <w:rFonts w:hint="eastAsia" w:ascii="宋体" w:hAnsi="宋体"/>
              </w:rPr>
              <w:t>核对、解释并取得合作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2、体位：</w:t>
            </w:r>
            <w:r>
              <w:rPr>
                <w:rFonts w:hint="eastAsia" w:ascii="宋体" w:hAnsi="宋体" w:cs="宋体"/>
                <w:szCs w:val="21"/>
              </w:rPr>
              <w:t>根据病情取合适体位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bottom w:val="nil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3、监护仪连接：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①</w:t>
            </w:r>
            <w:r>
              <w:rPr>
                <w:rFonts w:hint="eastAsia" w:ascii="宋体" w:hAnsi="宋体" w:cs="宋体"/>
                <w:szCs w:val="21"/>
              </w:rPr>
              <w:t>心电监护仪开机，连接电极片</w:t>
            </w:r>
          </w:p>
        </w:tc>
        <w:tc>
          <w:tcPr>
            <w:tcW w:w="636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②</w:t>
            </w:r>
            <w:r>
              <w:rPr>
                <w:rFonts w:hint="eastAsia" w:ascii="宋体" w:hAnsi="宋体" w:cs="宋体"/>
                <w:szCs w:val="21"/>
              </w:rPr>
              <w:t>进入“主菜单”，输入病人的一般信息（口述）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 w:ascii="宋体" w:hAnsi="宋体" w:cs="宋体"/>
                <w:szCs w:val="21"/>
              </w:rPr>
              <w:t>根据需要监护的项目，设置相应的监护通道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 w:ascii="宋体" w:hAnsi="宋体"/>
              </w:rPr>
              <w:t>暴露胸部，清洁患者皮肤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  <w:r>
              <w:rPr>
                <w:rFonts w:hint="eastAsia" w:ascii="宋体" w:hAnsi="宋体" w:cs="宋体"/>
                <w:szCs w:val="21"/>
              </w:rPr>
              <w:t>粘贴电极片于患者身体正确部位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  <w:r>
              <w:rPr>
                <w:rFonts w:hint="eastAsia" w:ascii="宋体" w:hAnsi="宋体" w:cs="宋体"/>
                <w:szCs w:val="21"/>
              </w:rPr>
              <w:t>根据SPO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传感器类型正确放置于手指、足趾或耳廓处，使其接触良好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  <w:r>
              <w:rPr>
                <w:rFonts w:hint="eastAsia" w:ascii="宋体" w:hAnsi="宋体" w:cs="宋体"/>
                <w:szCs w:val="21"/>
              </w:rPr>
              <w:t>连接血压袖带于正确位置，启动测量血压</w:t>
            </w:r>
          </w:p>
        </w:tc>
        <w:tc>
          <w:tcPr>
            <w:tcW w:w="636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bottom w:val="nil"/>
            </w:tcBorders>
            <w:vAlign w:val="top"/>
          </w:tcPr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4、监护仪设置：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 w:ascii="宋体" w:hAnsi="宋体" w:cs="宋体"/>
                <w:szCs w:val="21"/>
              </w:rPr>
              <w:t>进入心电子菜单，设置合适导联，调节振幅，监测波形清晰，无干扰</w:t>
            </w:r>
          </w:p>
        </w:tc>
        <w:tc>
          <w:tcPr>
            <w:tcW w:w="636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 w:ascii="宋体" w:hAnsi="宋体" w:cs="宋体"/>
                <w:szCs w:val="21"/>
              </w:rPr>
              <w:t>进入NIBP子菜单设置测量血压方式、间隔时间；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 w:ascii="宋体" w:hAnsi="宋体" w:cs="宋体"/>
                <w:szCs w:val="21"/>
              </w:rPr>
              <w:t>报警处于“ON”位置，设置报警上下限，口述及时发现报警并处理</w:t>
            </w:r>
          </w:p>
        </w:tc>
        <w:tc>
          <w:tcPr>
            <w:tcW w:w="636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5、识别心电图：</w:t>
            </w:r>
            <w:r>
              <w:rPr>
                <w:rFonts w:hint="eastAsia" w:ascii="宋体" w:hAnsi="宋体" w:cs="宋体"/>
                <w:szCs w:val="21"/>
              </w:rPr>
              <w:t>正确读取监护参数、正确识别心电图、并告知患者注意事项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6、洗手、记录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0" w:type="dxa"/>
            <w:vMerge w:val="continue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bottom w:val="nil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7、停止心电监护：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 w:ascii="宋体" w:hAnsi="宋体" w:cs="宋体"/>
                <w:szCs w:val="21"/>
              </w:rPr>
              <w:t>核对医嘱及患者，并解释取得合作</w:t>
            </w:r>
          </w:p>
        </w:tc>
        <w:tc>
          <w:tcPr>
            <w:tcW w:w="636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53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 w:ascii="宋体" w:hAnsi="宋体" w:cs="宋体"/>
                <w:szCs w:val="21"/>
              </w:rPr>
              <w:t>关闭监护仪，</w:t>
            </w:r>
            <w:r>
              <w:rPr>
                <w:rFonts w:hint="eastAsia" w:ascii="宋体" w:hAnsi="宋体"/>
              </w:rPr>
              <w:t>撤离导线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53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 w:ascii="宋体" w:hAnsi="宋体"/>
              </w:rPr>
              <w:t>清洁皮肤，</w:t>
            </w:r>
            <w:r>
              <w:rPr>
                <w:rFonts w:hint="eastAsia" w:ascii="宋体" w:hAnsi="宋体" w:cs="宋体"/>
                <w:szCs w:val="21"/>
              </w:rPr>
              <w:t>协助患者取舒适体位，整理床单位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86" w:type="dxa"/>
            <w:tcBorders>
              <w:top w:val="nil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 w:ascii="宋体" w:hAnsi="宋体" w:cs="宋体"/>
                <w:szCs w:val="21"/>
              </w:rPr>
              <w:t>处置用物、洗手、记录</w:t>
            </w:r>
          </w:p>
        </w:tc>
        <w:tc>
          <w:tcPr>
            <w:tcW w:w="636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530" w:type="dxa"/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综合评价（10分）</w:t>
            </w:r>
          </w:p>
        </w:tc>
        <w:tc>
          <w:tcPr>
            <w:tcW w:w="8586" w:type="dxa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关爱患者，体现以患者为中心的服务理念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操作熟练，动作规范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有效沟通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操作时间不超过8分钟</w:t>
            </w:r>
          </w:p>
        </w:tc>
        <w:tc>
          <w:tcPr>
            <w:tcW w:w="63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ind w:left="-1079" w:leftChars="-514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氧气吸入操作评分标准</w:t>
      </w:r>
      <w:r>
        <w:rPr>
          <w:b/>
          <w:sz w:val="32"/>
          <w:szCs w:val="32"/>
        </w:rPr>
        <w:t xml:space="preserve">  </w:t>
      </w:r>
    </w:p>
    <w:tbl>
      <w:tblPr>
        <w:tblStyle w:val="5"/>
        <w:tblW w:w="11020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600"/>
        <w:gridCol w:w="8852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评分细则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目的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供给病人氧气，改善缺氧症状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评估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病人的病情、意识状态、缺氧程度、鼻腔粘膜及有无分泌物堵塞等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病人的心理状态、合作程度。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解释目的、过程及配合方法等。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准备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环境：周围无明火及易燃品。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2. .</w:t>
            </w:r>
            <w:r>
              <w:rPr>
                <w:rFonts w:hint="eastAsia"/>
                <w:szCs w:val="21"/>
              </w:rPr>
              <w:t>用物：氧气装置一套，湿化瓶内入湿化液。治疗盘内放盛水容器（内盛蒸馏水）、弯盘、吸氧管、纱布、棉签、扳手、吸氧记录本、空满标识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流程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检查氧气筒及各部件。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打开总开关，清洁气门，迅速关好总开关。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氧气表略后倾接于气门上，初步旋紧，扳手加固使表直立。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接湿化瓶、连接吸氧管。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查流量表是否关好→开总开关→开流量表，检查各衔接部位是否漏气，氧气流出是否通畅。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关流量表，妥善放置吸氧管。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>清洁鼻腔；连接吸</w:t>
            </w:r>
            <w:r>
              <w:rPr>
                <w:rFonts w:hint="eastAsia"/>
                <w:szCs w:val="21"/>
                <w:lang w:eastAsia="zh-CN"/>
              </w:rPr>
              <w:t>氧</w:t>
            </w:r>
            <w:r>
              <w:rPr>
                <w:rFonts w:hint="eastAsia"/>
                <w:szCs w:val="21"/>
              </w:rPr>
              <w:t>管，打开氧气，调节氧流量；湿润吸氧管前端，检查吸氧管是否通畅，检查有无漏气，将鼻塞插入鼻腔；妥善固定。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8.</w:t>
            </w:r>
            <w:r>
              <w:rPr>
                <w:rFonts w:hint="eastAsia"/>
                <w:szCs w:val="21"/>
              </w:rPr>
              <w:t>观察、记录。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9.</w:t>
            </w:r>
            <w:r>
              <w:rPr>
                <w:rFonts w:hint="eastAsia"/>
                <w:szCs w:val="21"/>
              </w:rPr>
              <w:t>停止用氧：取下鼻塞，擦拭口鼻部，关氧气。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安置病人。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11.</w:t>
            </w:r>
            <w:r>
              <w:rPr>
                <w:rFonts w:hint="eastAsia"/>
                <w:szCs w:val="21"/>
              </w:rPr>
              <w:t>悬挂空满标准。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12.</w:t>
            </w:r>
            <w:r>
              <w:rPr>
                <w:rFonts w:hint="eastAsia"/>
                <w:szCs w:val="21"/>
              </w:rPr>
              <w:t>洗手、记录。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13.</w:t>
            </w:r>
            <w:r>
              <w:rPr>
                <w:rFonts w:hint="eastAsia"/>
                <w:szCs w:val="21"/>
              </w:rPr>
              <w:t>终末处理。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注意事项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注意用氧安全，切实做好四防：防火、防油、防热、防震。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使用及停用氧气时严格执行操作程序，使用氧气时，先调后用，停用氧气时，先拔后关。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使用过程中，观察病人缺氧改善情况。排除影响用氧效果的因素，按需调节流量。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氧气筒内氧气不可用尽，压力表降至5kg/cm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即不可再用。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熟练安装、使用氧气表及各部件。</w:t>
            </w:r>
            <w:r>
              <w:rPr>
                <w:rFonts w:hint="eastAsia"/>
                <w:szCs w:val="21"/>
                <w:lang w:eastAsia="zh-CN"/>
              </w:rPr>
              <w:t>时间不超过</w:t>
            </w:r>
            <w:r>
              <w:rPr>
                <w:rFonts w:hint="eastAsia"/>
                <w:szCs w:val="21"/>
                <w:lang w:val="en-US" w:eastAsia="zh-CN"/>
              </w:rPr>
              <w:t>5min，超过者扣1分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湿化液配制及氧流量调节符合病情需要。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插入吸氧管时病人无不适，吸氧管固定良好。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4.用氧效果好，各缺氧症状有所改善。</w:t>
            </w:r>
          </w:p>
        </w:tc>
        <w:tc>
          <w:tcPr>
            <w:tcW w:w="9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8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ACD"/>
    <w:multiLevelType w:val="multilevel"/>
    <w:tmpl w:val="12464AC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9FF6FA6"/>
    <w:multiLevelType w:val="multilevel"/>
    <w:tmpl w:val="19FF6FA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DF90DE3"/>
    <w:multiLevelType w:val="multilevel"/>
    <w:tmpl w:val="7DF90DE3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E04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2017-03-29T08:58:00Z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